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淮阳县城市管理局权责清单事项自查登记表</w:t>
      </w:r>
    </w:p>
    <w:p>
      <w:pPr>
        <w:ind w:firstLine="960" w:firstLineChars="300"/>
        <w:rPr>
          <w:rFonts w:ascii="仿宋" w:hAnsi="仿宋" w:eastAsia="仿宋" w:cs="仿宋"/>
          <w:sz w:val="32"/>
          <w:szCs w:val="32"/>
        </w:rPr>
      </w:pPr>
      <w:r>
        <w:rPr>
          <w:rFonts w:hint="eastAsia" w:ascii="黑体" w:hAnsi="黑体" w:eastAsia="黑体" w:cs="黑体"/>
          <w:sz w:val="32"/>
          <w:szCs w:val="32"/>
        </w:rPr>
        <w:t xml:space="preserve">单位名称：（盖章）                          </w:t>
      </w:r>
      <w:r>
        <w:rPr>
          <w:rFonts w:ascii="黑体" w:hAnsi="黑体" w:eastAsia="黑体" w:cs="黑体"/>
          <w:sz w:val="32"/>
          <w:szCs w:val="32"/>
        </w:rPr>
        <w:t xml:space="preserve">  </w:t>
      </w:r>
      <w:r>
        <w:rPr>
          <w:rFonts w:hint="eastAsia" w:ascii="黑体" w:hAnsi="黑体" w:eastAsia="黑体" w:cs="黑体"/>
          <w:sz w:val="32"/>
          <w:szCs w:val="32"/>
        </w:rPr>
        <w:t>上报时间：</w:t>
      </w:r>
      <w:r>
        <w:rPr>
          <w:rFonts w:hint="eastAsia" w:ascii="仿宋" w:hAnsi="仿宋" w:eastAsia="仿宋" w:cs="仿宋"/>
          <w:sz w:val="32"/>
          <w:szCs w:val="32"/>
        </w:rPr>
        <w:t>2019年12月</w:t>
      </w:r>
      <w:r>
        <w:rPr>
          <w:rFonts w:ascii="仿宋" w:hAnsi="仿宋" w:eastAsia="仿宋" w:cs="仿宋"/>
          <w:sz w:val="32"/>
          <w:szCs w:val="32"/>
        </w:rPr>
        <w:t>5</w:t>
      </w:r>
      <w:r>
        <w:rPr>
          <w:rFonts w:hint="eastAsia" w:ascii="仿宋" w:hAnsi="仿宋" w:eastAsia="仿宋" w:cs="仿宋"/>
          <w:sz w:val="32"/>
          <w:szCs w:val="32"/>
        </w:rPr>
        <w:t>日</w:t>
      </w:r>
    </w:p>
    <w:p>
      <w:pPr>
        <w:ind w:firstLine="960" w:firstLineChars="300"/>
        <w:jc w:val="left"/>
        <w:rPr>
          <w:rFonts w:ascii="黑体" w:hAnsi="黑体" w:eastAsia="黑体" w:cs="黑体"/>
          <w:sz w:val="32"/>
          <w:szCs w:val="32"/>
        </w:rPr>
      </w:pPr>
      <w:r>
        <w:rPr>
          <w:rFonts w:hint="eastAsia" w:ascii="黑体" w:hAnsi="黑体" w:eastAsia="黑体" w:cs="黑体"/>
          <w:sz w:val="32"/>
          <w:szCs w:val="32"/>
        </w:rPr>
        <w:t>主要负责人签字：                             经办人签字：</w:t>
      </w:r>
    </w:p>
    <w:tbl>
      <w:tblPr>
        <w:tblStyle w:val="5"/>
        <w:tblpPr w:leftFromText="180" w:rightFromText="180" w:vertAnchor="text" w:horzAnchor="page" w:tblpX="1116" w:tblpY="795"/>
        <w:tblOverlap w:val="never"/>
        <w:tblW w:w="14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170"/>
        <w:gridCol w:w="776"/>
        <w:gridCol w:w="2169"/>
        <w:gridCol w:w="776"/>
        <w:gridCol w:w="2176"/>
        <w:gridCol w:w="777"/>
        <w:gridCol w:w="2171"/>
        <w:gridCol w:w="794"/>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48" w:type="dxa"/>
            <w:gridSpan w:val="2"/>
            <w:vAlign w:val="center"/>
          </w:tcPr>
          <w:p>
            <w:pPr>
              <w:jc w:val="center"/>
              <w:rPr>
                <w:rFonts w:ascii="黑体" w:hAnsi="黑体" w:eastAsia="黑体" w:cs="黑体"/>
                <w:sz w:val="32"/>
                <w:szCs w:val="32"/>
              </w:rPr>
            </w:pPr>
            <w:r>
              <w:rPr>
                <w:rFonts w:hint="eastAsia" w:ascii="黑体" w:hAnsi="黑体" w:eastAsia="黑体" w:cs="黑体"/>
                <w:sz w:val="32"/>
                <w:szCs w:val="32"/>
              </w:rPr>
              <w:t>划入事项</w:t>
            </w:r>
          </w:p>
        </w:tc>
        <w:tc>
          <w:tcPr>
            <w:tcW w:w="2945" w:type="dxa"/>
            <w:gridSpan w:val="2"/>
            <w:vAlign w:val="center"/>
          </w:tcPr>
          <w:p>
            <w:pPr>
              <w:jc w:val="center"/>
              <w:rPr>
                <w:rFonts w:ascii="黑体" w:hAnsi="黑体" w:eastAsia="黑体" w:cs="黑体"/>
                <w:sz w:val="32"/>
                <w:szCs w:val="32"/>
              </w:rPr>
            </w:pPr>
            <w:r>
              <w:rPr>
                <w:rFonts w:hint="eastAsia" w:ascii="黑体" w:hAnsi="黑体" w:eastAsia="黑体" w:cs="黑体"/>
                <w:sz w:val="32"/>
                <w:szCs w:val="32"/>
              </w:rPr>
              <w:t>划出事项</w:t>
            </w:r>
          </w:p>
        </w:tc>
        <w:tc>
          <w:tcPr>
            <w:tcW w:w="2952" w:type="dxa"/>
            <w:gridSpan w:val="2"/>
            <w:vAlign w:val="center"/>
          </w:tcPr>
          <w:p>
            <w:pPr>
              <w:jc w:val="center"/>
              <w:rPr>
                <w:rFonts w:ascii="黑体" w:hAnsi="黑体" w:eastAsia="黑体" w:cs="黑体"/>
                <w:sz w:val="32"/>
                <w:szCs w:val="32"/>
              </w:rPr>
            </w:pPr>
            <w:r>
              <w:rPr>
                <w:rFonts w:hint="eastAsia" w:ascii="黑体" w:hAnsi="黑体" w:eastAsia="黑体" w:cs="黑体"/>
                <w:sz w:val="32"/>
                <w:szCs w:val="32"/>
              </w:rPr>
              <w:t>取消事项</w:t>
            </w:r>
          </w:p>
        </w:tc>
        <w:tc>
          <w:tcPr>
            <w:tcW w:w="2948" w:type="dxa"/>
            <w:gridSpan w:val="2"/>
            <w:vAlign w:val="center"/>
          </w:tcPr>
          <w:p>
            <w:pPr>
              <w:jc w:val="center"/>
              <w:rPr>
                <w:rFonts w:ascii="黑体" w:hAnsi="黑体" w:eastAsia="黑体" w:cs="黑体"/>
                <w:sz w:val="32"/>
                <w:szCs w:val="32"/>
              </w:rPr>
            </w:pPr>
            <w:r>
              <w:rPr>
                <w:rFonts w:hint="eastAsia" w:ascii="黑体" w:hAnsi="黑体" w:eastAsia="黑体" w:cs="黑体"/>
                <w:sz w:val="32"/>
                <w:szCs w:val="32"/>
              </w:rPr>
              <w:t>新增事项</w:t>
            </w:r>
          </w:p>
        </w:tc>
        <w:tc>
          <w:tcPr>
            <w:tcW w:w="2945" w:type="dxa"/>
            <w:gridSpan w:val="2"/>
            <w:vAlign w:val="center"/>
          </w:tcPr>
          <w:p>
            <w:pPr>
              <w:jc w:val="center"/>
              <w:rPr>
                <w:rFonts w:ascii="黑体" w:hAnsi="黑体" w:eastAsia="黑体" w:cs="黑体"/>
                <w:sz w:val="32"/>
                <w:szCs w:val="32"/>
              </w:rPr>
            </w:pPr>
            <w:r>
              <w:rPr>
                <w:rFonts w:hint="eastAsia" w:ascii="黑体" w:hAnsi="黑体" w:eastAsia="黑体" w:cs="黑体"/>
                <w:sz w:val="32"/>
                <w:szCs w:val="32"/>
              </w:rPr>
              <w:t>调整事项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序号</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名  称</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序号</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名  称</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序号</w:t>
            </w:r>
          </w:p>
        </w:tc>
        <w:tc>
          <w:tcPr>
            <w:tcW w:w="21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名  称</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序号</w:t>
            </w: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 w:val="28"/>
                <w:szCs w:val="28"/>
              </w:rPr>
            </w:pPr>
            <w:r>
              <w:rPr>
                <w:rFonts w:hint="eastAsia" w:ascii="仿宋_GB2312" w:hAnsi="仿宋_GB2312" w:cs="仿宋_GB2312"/>
                <w:sz w:val="28"/>
                <w:szCs w:val="28"/>
              </w:rPr>
              <w:t>名  称</w:t>
            </w:r>
          </w:p>
        </w:tc>
        <w:tc>
          <w:tcPr>
            <w:tcW w:w="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cs="仿宋_GB2312"/>
                <w:sz w:val="28"/>
                <w:szCs w:val="28"/>
              </w:rPr>
            </w:pPr>
            <w:r>
              <w:rPr>
                <w:rFonts w:hint="eastAsia" w:ascii="仿宋_GB2312" w:hAnsi="仿宋_GB2312" w:cs="仿宋_GB2312"/>
                <w:sz w:val="28"/>
                <w:szCs w:val="28"/>
              </w:rPr>
              <w:t>序号</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cs="仿宋_GB2312"/>
                <w:sz w:val="28"/>
                <w:szCs w:val="28"/>
              </w:rPr>
            </w:pPr>
            <w:r>
              <w:rPr>
                <w:rFonts w:hint="eastAsia" w:ascii="仿宋_GB2312" w:hAnsi="仿宋_GB2312" w:cs="仿宋_GB2312"/>
                <w:sz w:val="28"/>
                <w:szCs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lang w:eastAsia="zh-CN"/>
              </w:rPr>
              <w:t>张挂、</w:t>
            </w:r>
            <w:r>
              <w:rPr>
                <w:rFonts w:hint="eastAsia"/>
                <w:color w:val="000000"/>
                <w:sz w:val="20"/>
                <w:szCs w:val="20"/>
              </w:rPr>
              <w:t>张贴宣传品审批</w:t>
            </w:r>
          </w:p>
        </w:tc>
        <w:tc>
          <w:tcPr>
            <w:tcW w:w="776" w:type="dxa"/>
            <w:vAlign w:val="center"/>
          </w:tcPr>
          <w:p>
            <w:pPr>
              <w:spacing w:line="240" w:lineRule="exact"/>
              <w:jc w:val="center"/>
              <w:rPr>
                <w:rFonts w:ascii="仿宋" w:hAnsi="仿宋" w:eastAsia="仿宋" w:cs="仿宋"/>
                <w:szCs w:val="21"/>
              </w:rPr>
            </w:pPr>
          </w:p>
        </w:tc>
        <w:tc>
          <w:tcPr>
            <w:tcW w:w="2169" w:type="dxa"/>
            <w:vAlign w:val="center"/>
          </w:tcPr>
          <w:p>
            <w:pPr>
              <w:spacing w:line="240" w:lineRule="exact"/>
              <w:rPr>
                <w:rFonts w:ascii="仿宋" w:hAnsi="仿宋" w:eastAsia="仿宋" w:cs="仿宋"/>
                <w:szCs w:val="21"/>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20"/>
                <w:szCs w:val="20"/>
              </w:rPr>
            </w:pPr>
            <w:r>
              <w:rPr>
                <w:rFonts w:hint="eastAsia"/>
                <w:color w:val="000000"/>
                <w:sz w:val="20"/>
                <w:szCs w:val="20"/>
              </w:rPr>
              <w:t>对城市绿线的控制和实施情况进行检查</w:t>
            </w: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因建设等特殊需要，在街道两侧和公共场地临时堆放物料，搭建非永久性建筑物、构筑物或者其他设施许可</w:t>
            </w:r>
          </w:p>
        </w:tc>
        <w:tc>
          <w:tcPr>
            <w:tcW w:w="776" w:type="dxa"/>
            <w:vAlign w:val="center"/>
          </w:tcPr>
          <w:p>
            <w:pPr>
              <w:spacing w:line="240" w:lineRule="exact"/>
              <w:jc w:val="center"/>
              <w:rPr>
                <w:rFonts w:ascii="仿宋" w:hAnsi="仿宋" w:eastAsia="仿宋" w:cs="仿宋"/>
                <w:szCs w:val="21"/>
              </w:rPr>
            </w:pPr>
          </w:p>
        </w:tc>
        <w:tc>
          <w:tcPr>
            <w:tcW w:w="2169" w:type="dxa"/>
            <w:vAlign w:val="center"/>
          </w:tcPr>
          <w:p>
            <w:pPr>
              <w:spacing w:line="240" w:lineRule="exact"/>
              <w:rPr>
                <w:rFonts w:ascii="仿宋" w:hAnsi="仿宋" w:eastAsia="仿宋" w:cs="仿宋"/>
                <w:szCs w:val="21"/>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20"/>
                <w:szCs w:val="20"/>
              </w:rPr>
            </w:pPr>
            <w:r>
              <w:rPr>
                <w:rFonts w:hint="eastAsia"/>
                <w:sz w:val="20"/>
                <w:szCs w:val="20"/>
              </w:rPr>
              <w:t>对本辖区的市容环境卫生工作进行监督检查</w:t>
            </w: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3</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szCs w:val="21"/>
              </w:rPr>
            </w:pPr>
            <w:r>
              <w:rPr>
                <w:rFonts w:hint="eastAsia"/>
                <w:color w:val="000000"/>
                <w:sz w:val="20"/>
                <w:szCs w:val="20"/>
              </w:rPr>
              <w:t>环卫设施拆除审批</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20"/>
                <w:szCs w:val="20"/>
              </w:rPr>
            </w:pPr>
            <w:r>
              <w:rPr>
                <w:rFonts w:hint="eastAsia"/>
                <w:color w:val="000000"/>
                <w:sz w:val="20"/>
                <w:szCs w:val="20"/>
              </w:rPr>
              <w:t>对本行政区域内城市生活垃圾清扫、收集、运输、处置单位执行《河南省城市生活垃圾处理管理办法》的情况进行监督检查</w:t>
            </w: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4</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燃气经营许可证核发</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⑴城镇燃气经营许可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⑵瓶装燃气供应站经营许可</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20"/>
                <w:szCs w:val="20"/>
              </w:rPr>
            </w:pPr>
            <w:r>
              <w:rPr>
                <w:rFonts w:hint="eastAsia"/>
                <w:color w:val="000000"/>
                <w:sz w:val="20"/>
                <w:szCs w:val="20"/>
              </w:rPr>
              <w:t>对城镇排水与污水处理设施运行维护和保护情况的监督检查</w:t>
            </w: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5</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szCs w:val="21"/>
              </w:rPr>
            </w:pPr>
            <w:r>
              <w:rPr>
                <w:rFonts w:hint="eastAsia"/>
                <w:color w:val="000000"/>
                <w:sz w:val="20"/>
                <w:szCs w:val="20"/>
              </w:rPr>
              <w:t>燃气设施改动审批</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rPr>
                <w:rFonts w:ascii="仿宋_GB2312" w:hAnsi="仿宋_GB2312" w:eastAsia="仿宋_GB2312" w:cs="仿宋_GB2312"/>
                <w:sz w:val="28"/>
                <w:szCs w:val="28"/>
              </w:rPr>
            </w:pP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6</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城镇污水排入排水管网许可</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rPr>
                <w:rFonts w:ascii="仿宋_GB2312" w:hAnsi="仿宋_GB2312" w:eastAsia="仿宋_GB2312" w:cs="仿宋_GB2312"/>
                <w:sz w:val="28"/>
                <w:szCs w:val="28"/>
              </w:rPr>
            </w:pPr>
          </w:p>
        </w:tc>
        <w:tc>
          <w:tcPr>
            <w:tcW w:w="217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7</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城市建筑垃圾处置核准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⑴建筑垃圾清运许可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⑵建筑垃圾消纳利用许可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⑶建筑垃圾排放许可</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rPr>
                <w:rFonts w:ascii="仿宋_GB2312" w:hAnsi="仿宋_GB2312" w:eastAsia="仿宋_GB2312" w:cs="仿宋_GB2312"/>
                <w:sz w:val="28"/>
                <w:szCs w:val="28"/>
              </w:rPr>
            </w:pPr>
          </w:p>
        </w:tc>
        <w:tc>
          <w:tcPr>
            <w:tcW w:w="2171" w:type="dxa"/>
            <w:vAlign w:val="center"/>
          </w:tcPr>
          <w:p>
            <w:pPr>
              <w:spacing w:line="240" w:lineRule="exact"/>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8</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从事生活垃圾（含粪便）经营性清扫、收集、运输、处理服务审批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⑴城市生活垃圾经营性处理服务许可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⑵城市生活垃圾经营性清扫、收集、运输服务许可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rPr>
                <w:rFonts w:ascii="仿宋_GB2312" w:hAnsi="仿宋_GB2312" w:eastAsia="仿宋_GB2312" w:cs="仿宋_GB2312"/>
                <w:sz w:val="28"/>
                <w:szCs w:val="28"/>
              </w:rPr>
            </w:pPr>
          </w:p>
        </w:tc>
        <w:tc>
          <w:tcPr>
            <w:tcW w:w="2171" w:type="dxa"/>
            <w:vAlign w:val="center"/>
          </w:tcPr>
          <w:p>
            <w:pPr>
              <w:spacing w:line="240" w:lineRule="exact"/>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9</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auto"/>
                <w:sz w:val="20"/>
                <w:szCs w:val="20"/>
              </w:rPr>
              <w:t>因建设或特殊原因，临时占用城市绿地审批</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10</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auto"/>
                <w:sz w:val="20"/>
                <w:szCs w:val="20"/>
              </w:rPr>
              <w:t>砍伐城市树木审批</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11</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 w:val="20"/>
                <w:szCs w:val="20"/>
              </w:rPr>
            </w:pPr>
            <w:r>
              <w:rPr>
                <w:rFonts w:hint="eastAsia"/>
                <w:color w:val="000000"/>
                <w:sz w:val="20"/>
                <w:szCs w:val="20"/>
              </w:rPr>
              <w:t>改装、拆除、迁移城市供水设施许可</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color w:val="000000"/>
                <w:sz w:val="20"/>
                <w:szCs w:val="20"/>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12</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rPr>
            </w:pPr>
            <w:r>
              <w:rPr>
                <w:rFonts w:hint="eastAsia"/>
                <w:sz w:val="20"/>
                <w:szCs w:val="20"/>
              </w:rPr>
              <w:t>市政设施建设类审批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rPr>
            </w:pPr>
            <w:r>
              <w:rPr>
                <w:rFonts w:hint="eastAsia"/>
                <w:sz w:val="20"/>
                <w:szCs w:val="20"/>
              </w:rPr>
              <w:t>⑴依附城市道路、桥梁建设各种管线、杆线等设施许可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rPr>
            </w:pPr>
            <w:r>
              <w:rPr>
                <w:rFonts w:hint="eastAsia"/>
                <w:sz w:val="20"/>
                <w:szCs w:val="20"/>
              </w:rPr>
              <w:t>⑵临时占用城市道路许可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 w:val="20"/>
                <w:szCs w:val="20"/>
              </w:rPr>
            </w:pPr>
            <w:r>
              <w:rPr>
                <w:rFonts w:hint="eastAsia"/>
                <w:sz w:val="20"/>
                <w:szCs w:val="20"/>
              </w:rPr>
              <w:t>⑶挖掘城市道路许可</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13</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对在城市绿地范围内进行拦河截溪、取土采石、设置垃圾堆场、排放污水以及其他对城市生态环境造成破坏活动的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14</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18"/>
                <w:szCs w:val="18"/>
              </w:rPr>
              <w:t>对燃气经营企业分立、合并、中止经营,或者燃气经营许可证载明的内容发生变更,燃气经营企业未在规定期限内报原审批机关申请办理相关手续的行政处罚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ascii="宋体" w:hAnsi="宋体" w:cs="宋体"/>
                <w:color w:val="000000"/>
                <w:sz w:val="20"/>
                <w:szCs w:val="20"/>
              </w:rPr>
              <w:t xml:space="preserve"> </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15</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对瓶装燃气经营企业超过检验期限、检验不合格或者报废、改装的气瓶进行灌装和用贮罐、槽车直接向气瓶充装燃气或者用气瓶相互倒灌燃气和在不符合安全条件的场地存放已充装气瓶的行政处罚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16</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对向未经使用登记、与使用登记证不一致的车用气瓶加气或者向车用气瓶以外的其他气瓶或者装置加气的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17</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对燃气燃烧器具安装维修企业安装不符合国家标准或者与气源不适配的燃气燃烧器具,或者维修达到报废年限的燃气燃烧器具的行政处罚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18</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在市政设施管理范围内，对未经批准，进行下列行为的行政处罚：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⑴因特殊原因确需临时占用、挖掘、改动、迁移市政设施的；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⑵新建、改(扩)建各种管线、杆(塔)线、地面设备、建(构)筑物等；</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⑶利用道路、桥涵、杆塔等设施设置标语、广告、悬浮物、安装线路和设备等；</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⑷向城市排水管道加压排放污废水的。</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19</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对未取得设计、施工资格或者未按照资质等级承担城市道路的设计、施工任务的和未按照城市道路设计、施工技术规范设计、施工的以及未按照设计图纸施工或者擅自修改图纸的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20</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对擅自使用未经验收或者验收不合格的城市道路的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21</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18"/>
                <w:szCs w:val="18"/>
              </w:rPr>
              <w:t>对承担城市道路养护、维修的单位的</w:t>
            </w:r>
            <w:r>
              <w:rPr>
                <w:rFonts w:hint="eastAsia"/>
                <w:color w:val="000000"/>
                <w:sz w:val="18"/>
                <w:szCs w:val="18"/>
                <w:lang w:eastAsia="zh-CN"/>
              </w:rPr>
              <w:t>行政</w:t>
            </w:r>
            <w:r>
              <w:rPr>
                <w:rFonts w:hint="eastAsia"/>
                <w:color w:val="000000"/>
                <w:sz w:val="18"/>
                <w:szCs w:val="18"/>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22</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对在城市道路范围内进行下列行为的行政处罚：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⑴擅自占用或者挖掘城市道路；</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⑵履带车、铁轮车或者超重、超高、超长车辆擅自在城市道路上行驶；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⑶机动车在桥梁或者非指定的城市道路上试刹车；</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⑷擅自在城市道路上建设建筑物、构筑物；</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⑸在桥梁上架设压力在4公斤/平方厘米（0.4兆帕）以上的煤气管道、10千伏以上的高压电力线和其他易燃易爆管线；</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⑹擅自在桥梁或者路灯设施上设置广告牌或者其他挂浮物；</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 w:val="18"/>
                <w:szCs w:val="18"/>
              </w:rPr>
            </w:pPr>
            <w:r>
              <w:rPr>
                <w:rFonts w:hint="eastAsia"/>
                <w:color w:val="000000"/>
                <w:sz w:val="18"/>
                <w:szCs w:val="18"/>
              </w:rPr>
              <w:t>⑺其他损害、侵占城市道路的行为。</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23</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对随地吐痰、便溺和乱泼污水,乱扔果皮(核)、纸屑、烟蒂、包装纸(袋、盒)、饮料罐(瓶、盒)、口香糖渣、废电池、动物尸体等废弃物的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24</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对在城市人民政府确定的主要街道临街建筑物的阳台和窗外堆放、吊挂有碍市容物品的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25</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lang w:eastAsia="zh-CN"/>
              </w:rPr>
              <w:t>对</w:t>
            </w:r>
            <w:r>
              <w:rPr>
                <w:rFonts w:hint="eastAsia"/>
                <w:color w:val="000000"/>
                <w:sz w:val="20"/>
                <w:szCs w:val="20"/>
              </w:rPr>
              <w:t>在城市建筑物、设施以及树木上涂写、刻画，或者未经批准张挂、张贴宣传品等的行政处罚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26</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对不按城市环境卫生行政主管部门规定的时间、地点、方式倾倒垃圾、粪便,不足1吨的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27</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 w:val="18"/>
                <w:szCs w:val="18"/>
              </w:rPr>
            </w:pPr>
            <w:r>
              <w:rPr>
                <w:rFonts w:hint="eastAsia"/>
                <w:color w:val="000000"/>
                <w:sz w:val="18"/>
                <w:szCs w:val="18"/>
              </w:rPr>
              <w:t>对不履行卫生责任区清扫保洁的,或冬季不履行除雪义务的</w:t>
            </w:r>
            <w:r>
              <w:rPr>
                <w:rFonts w:hint="eastAsia"/>
                <w:color w:val="000000"/>
                <w:sz w:val="18"/>
                <w:szCs w:val="18"/>
                <w:lang w:eastAsia="zh-CN"/>
              </w:rPr>
              <w:t>行政</w:t>
            </w:r>
            <w:r>
              <w:rPr>
                <w:rFonts w:hint="eastAsia"/>
                <w:color w:val="000000"/>
                <w:sz w:val="18"/>
                <w:szCs w:val="18"/>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28</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18"/>
                <w:szCs w:val="18"/>
              </w:rPr>
              <w:t>对运输液体、散装货物不作密封、包扎、覆盖造成泄露、遗撒的</w:t>
            </w:r>
            <w:r>
              <w:rPr>
                <w:rFonts w:hint="eastAsia"/>
                <w:color w:val="000000"/>
                <w:sz w:val="18"/>
                <w:szCs w:val="18"/>
                <w:lang w:eastAsia="zh-CN"/>
              </w:rPr>
              <w:t>行政</w:t>
            </w:r>
            <w:r>
              <w:rPr>
                <w:rFonts w:hint="eastAsia"/>
                <w:color w:val="000000"/>
                <w:sz w:val="18"/>
                <w:szCs w:val="18"/>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29</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对临街工地不设置护栏或者不作遮挡,停工场地不及时整理并作必要覆盖或者竣工后不及时清理和平整场地,影响市容和环境卫生的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ascii="仿宋" w:hAnsi="仿宋" w:eastAsia="仿宋" w:cs="仿宋"/>
                <w:szCs w:val="21"/>
              </w:rPr>
            </w:pPr>
            <w:r>
              <w:rPr>
                <w:rFonts w:hint="eastAsia" w:ascii="仿宋_GB2312" w:hAnsi="仿宋_GB2312" w:eastAsia="仿宋_GB2312" w:cs="仿宋_GB2312"/>
                <w:sz w:val="28"/>
                <w:szCs w:val="28"/>
              </w:rPr>
              <w:t>30</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对不按规定及时清运、处理粪便的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eastAsia" w:ascii="仿宋" w:hAnsi="仿宋" w:eastAsia="仿宋_GB2312" w:cs="仿宋"/>
                <w:szCs w:val="21"/>
                <w:lang w:val="en-US"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1</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对在城市道路或人行道上从事各类作业后,不清除杂物、渣土、污水淤泥的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eastAsia" w:ascii="仿宋" w:hAnsi="仿宋" w:eastAsia="仿宋_GB2312" w:cs="仿宋"/>
                <w:szCs w:val="21"/>
                <w:lang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2</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在露天场所和垃圾收集容器内焚烧树枝(叶)、垃圾或者其他物品的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eastAsia" w:ascii="仿宋" w:hAnsi="仿宋" w:eastAsia="仿宋_GB2312" w:cs="仿宋"/>
                <w:szCs w:val="21"/>
                <w:lang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3</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对牲畜或者宠物的携带者对牲畜或者宠物的粪便不及时清除的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eastAsia" w:ascii="仿宋" w:hAnsi="仿宋" w:eastAsia="仿宋_GB2312" w:cs="仿宋"/>
                <w:szCs w:val="21"/>
                <w:lang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4</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对摊点的经营者随地丢弃垃圾的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35</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lang w:eastAsia="zh-CN"/>
              </w:rPr>
              <w:t>对</w:t>
            </w:r>
            <w:r>
              <w:rPr>
                <w:rFonts w:hint="eastAsia"/>
                <w:color w:val="000000"/>
                <w:sz w:val="20"/>
                <w:szCs w:val="20"/>
              </w:rPr>
              <w:t>将有害固体废弃物混入城市生活垃圾的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36</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sz w:val="18"/>
                <w:szCs w:val="18"/>
              </w:rPr>
            </w:pPr>
            <w:r>
              <w:rPr>
                <w:rFonts w:hint="eastAsia"/>
                <w:color w:val="000000"/>
                <w:sz w:val="18"/>
                <w:szCs w:val="18"/>
              </w:rPr>
              <w:t>对不按规定的地点、方式冲洗车辆,造成污水漫流、遗弃垃圾的</w:t>
            </w:r>
            <w:r>
              <w:rPr>
                <w:rFonts w:hint="eastAsia"/>
                <w:color w:val="000000"/>
                <w:sz w:val="18"/>
                <w:szCs w:val="18"/>
                <w:lang w:eastAsia="zh-CN"/>
              </w:rPr>
              <w:t>行政</w:t>
            </w:r>
            <w:r>
              <w:rPr>
                <w:rFonts w:hint="eastAsia"/>
                <w:color w:val="000000"/>
                <w:sz w:val="18"/>
                <w:szCs w:val="18"/>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37</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color w:val="auto"/>
                <w:sz w:val="18"/>
                <w:szCs w:val="18"/>
              </w:rPr>
            </w:pPr>
            <w:r>
              <w:rPr>
                <w:rFonts w:hint="eastAsia"/>
                <w:color w:val="000000"/>
                <w:sz w:val="18"/>
                <w:szCs w:val="18"/>
              </w:rPr>
              <w:t>对擅自设置</w:t>
            </w:r>
            <w:r>
              <w:rPr>
                <w:rFonts w:hint="eastAsia"/>
                <w:color w:val="000000"/>
                <w:sz w:val="18"/>
                <w:szCs w:val="18"/>
                <w:lang w:eastAsia="zh-CN"/>
              </w:rPr>
              <w:t>大型</w:t>
            </w:r>
            <w:r>
              <w:rPr>
                <w:rFonts w:hint="eastAsia"/>
                <w:color w:val="000000"/>
                <w:sz w:val="18"/>
                <w:szCs w:val="18"/>
              </w:rPr>
              <w:t>户外广告影响市容的行政处罚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38</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2"/>
                <w:sz w:val="21"/>
                <w:szCs w:val="21"/>
                <w:lang w:val="en-US" w:eastAsia="zh-CN" w:bidi="ar-SA"/>
              </w:rPr>
            </w:pPr>
            <w:r>
              <w:rPr>
                <w:rFonts w:hint="eastAsia"/>
                <w:color w:val="000000"/>
                <w:sz w:val="20"/>
                <w:szCs w:val="20"/>
              </w:rPr>
              <w:t>对擅自在街道两侧和其他公共场所临时堆放物料、摆摊设点影响市容的或搭建非永久性建筑物、构筑物或者设置商亭等其他设施影响市容的行政处罚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39</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lang w:eastAsia="zh-CN"/>
              </w:rPr>
              <w:t>对</w:t>
            </w:r>
            <w:r>
              <w:rPr>
                <w:rFonts w:hint="eastAsia"/>
                <w:color w:val="000000"/>
                <w:sz w:val="20"/>
                <w:szCs w:val="20"/>
              </w:rPr>
              <w:t>未经批准擅自拆除环境卫生设施或者未按批准的拆迁方案进行拆迁的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eastAsia" w:ascii="仿宋" w:hAnsi="仿宋" w:eastAsia="仿宋_GB2312" w:cs="仿宋"/>
                <w:szCs w:val="21"/>
                <w:lang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0</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对损坏各类环境卫生设施及其附属设施的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78" w:type="dxa"/>
            <w:vAlign w:val="center"/>
          </w:tcPr>
          <w:p>
            <w:pPr>
              <w:spacing w:line="240" w:lineRule="exact"/>
              <w:jc w:val="center"/>
              <w:rPr>
                <w:rFonts w:hint="eastAsia" w:ascii="仿宋" w:hAnsi="仿宋" w:eastAsia="仿宋_GB2312" w:cs="仿宋"/>
                <w:szCs w:val="21"/>
                <w:lang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1</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对不缴纳污水处理费的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42</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对饲养家禽家畜影响市容和环境卫生的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43</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 w:val="18"/>
                <w:szCs w:val="18"/>
              </w:rPr>
            </w:pPr>
            <w:r>
              <w:rPr>
                <w:rFonts w:hint="eastAsia"/>
                <w:color w:val="000000"/>
                <w:sz w:val="18"/>
                <w:szCs w:val="18"/>
              </w:rPr>
              <w:t>对建筑物或者设施不符合城市容貌标准、环境卫生标准的行政处罚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44</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对市政设施管理范围内违规行为的行政处罚：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⑴市政设施的施工、养护、维修现场未设置明显标志和安全防护设施的；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⑵未按规定进行养护、维修或者养护、维修工程质量不符合标准的；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⑶超限车辆未按规定办理手续而通行的；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⑷未经批准擅自迁建、改建城市道路、排水、照明等设施的；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⑸未取得排水许可证擅自向排水设施排放污水或超标排放废水的；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⑹挖掘、堵塞、填埋、腐蚀等损害城市排水设施的；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⑺占压各种窨井、通道口，阻塞排水管道、沟渠及出水口的；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⑻其他地下管线穿通排水管道、检查井和雨水井的；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⑼已经采取分流制排水系统，将雨水管和污水管混接的；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⑽当街排放生活污水的；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⑾在桥涵设施管理范围内修建影响桥涵功能与安全的建筑物、构筑物及从事爆破、挖掘等有碍桥涵安全的作业的；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20"/>
                <w:szCs w:val="20"/>
              </w:rPr>
            </w:pPr>
            <w:r>
              <w:rPr>
                <w:rFonts w:hint="eastAsia"/>
                <w:color w:val="000000"/>
                <w:sz w:val="20"/>
                <w:szCs w:val="20"/>
              </w:rPr>
              <w:t>⑿私自接用路灯电源，损坏、偷盗城市道路照明设施的；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⒀其他损害、侵占市政设施的行为。</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 w:hAnsi="仿宋" w:eastAsia="仿宋" w:cs="仿宋"/>
                <w:szCs w:val="21"/>
                <w:lang w:val="en-US" w:eastAsia="zh-CN"/>
              </w:rPr>
            </w:pPr>
            <w:r>
              <w:rPr>
                <w:rFonts w:hint="eastAsia" w:ascii="仿宋_GB2312" w:hAnsi="仿宋_GB2312" w:eastAsia="仿宋_GB2312" w:cs="仿宋_GB2312"/>
                <w:sz w:val="28"/>
                <w:szCs w:val="28"/>
                <w:lang w:val="en-US" w:eastAsia="zh-CN"/>
              </w:rPr>
              <w:t>45</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zCs w:val="21"/>
              </w:rPr>
            </w:pPr>
            <w:r>
              <w:rPr>
                <w:rFonts w:hint="eastAsia"/>
                <w:color w:val="000000"/>
                <w:sz w:val="20"/>
                <w:szCs w:val="20"/>
              </w:rPr>
              <w:t>对擅自砍伐、移植或修剪城市规划区内树木的</w:t>
            </w:r>
            <w:r>
              <w:rPr>
                <w:rFonts w:hint="eastAsia"/>
                <w:color w:val="000000"/>
                <w:sz w:val="20"/>
                <w:szCs w:val="20"/>
                <w:lang w:eastAsia="zh-CN"/>
              </w:rPr>
              <w:t>行政</w:t>
            </w:r>
            <w:r>
              <w:rPr>
                <w:rFonts w:hint="eastAsia"/>
                <w:color w:val="000000"/>
                <w:sz w:val="20"/>
                <w:szCs w:val="20"/>
              </w:rPr>
              <w:t>处罚</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78" w:type="dxa"/>
            <w:vAlign w:val="center"/>
          </w:tcPr>
          <w:p>
            <w:pPr>
              <w:spacing w:line="24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46</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对下列损害城市绿化及其设施行为的行政处罚：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⑴损坏城市树</w:t>
            </w:r>
            <w:bookmarkStart w:id="0" w:name="_GoBack"/>
            <w:bookmarkEnd w:id="0"/>
            <w:r>
              <w:rPr>
                <w:rFonts w:hint="eastAsia"/>
                <w:color w:val="000000"/>
                <w:sz w:val="18"/>
                <w:szCs w:val="18"/>
              </w:rPr>
              <w:t>木、花草、草坪或盗窃绿地设施的；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⑵就树盖房，在绿地内或树木下搭灶生火，倾倒有害物质的；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⑶砍伐、擅自迁移古树名木或者因养护不善致使古树死亡的；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⑷在树木上架设电线，在绿地内停放车辆、放牧或乱扔废弃物，在绿地和道路两侧绿篱内挖坑取土的；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000000"/>
                <w:sz w:val="18"/>
                <w:szCs w:val="18"/>
              </w:rPr>
            </w:pPr>
            <w:r>
              <w:rPr>
                <w:rFonts w:hint="eastAsia"/>
                <w:color w:val="000000"/>
                <w:sz w:val="18"/>
                <w:szCs w:val="18"/>
              </w:rPr>
              <w:t>⑸其他损害城市绿化及其设施的。</w:t>
            </w:r>
          </w:p>
        </w:tc>
        <w:tc>
          <w:tcPr>
            <w:tcW w:w="776" w:type="dxa"/>
            <w:vAlign w:val="center"/>
          </w:tcPr>
          <w:p>
            <w:pPr>
              <w:spacing w:line="240" w:lineRule="exact"/>
              <w:jc w:val="center"/>
              <w:rPr>
                <w:rFonts w:ascii="仿宋_GB2312" w:hAnsi="仿宋_GB2312" w:eastAsia="仿宋_GB2312" w:cs="仿宋_GB2312"/>
                <w:sz w:val="28"/>
                <w:szCs w:val="28"/>
              </w:rPr>
            </w:pPr>
          </w:p>
        </w:tc>
        <w:tc>
          <w:tcPr>
            <w:tcW w:w="2169" w:type="dxa"/>
            <w:vAlign w:val="center"/>
          </w:tcPr>
          <w:p>
            <w:pPr>
              <w:spacing w:line="240" w:lineRule="exact"/>
              <w:rPr>
                <w:color w:val="000000"/>
                <w:sz w:val="20"/>
                <w:szCs w:val="20"/>
              </w:rPr>
            </w:pPr>
          </w:p>
        </w:tc>
        <w:tc>
          <w:tcPr>
            <w:tcW w:w="776" w:type="dxa"/>
            <w:vAlign w:val="center"/>
          </w:tcPr>
          <w:p>
            <w:pPr>
              <w:spacing w:line="240" w:lineRule="exact"/>
              <w:jc w:val="center"/>
              <w:rPr>
                <w:rFonts w:ascii="仿宋" w:hAnsi="仿宋" w:eastAsia="仿宋" w:cs="仿宋"/>
                <w:szCs w:val="21"/>
              </w:rPr>
            </w:pPr>
          </w:p>
        </w:tc>
        <w:tc>
          <w:tcPr>
            <w:tcW w:w="2176" w:type="dxa"/>
            <w:vAlign w:val="center"/>
          </w:tcPr>
          <w:p>
            <w:pPr>
              <w:spacing w:line="240" w:lineRule="exact"/>
              <w:rPr>
                <w:rFonts w:ascii="仿宋" w:hAnsi="仿宋" w:eastAsia="仿宋" w:cs="仿宋"/>
                <w:szCs w:val="21"/>
              </w:rPr>
            </w:pPr>
          </w:p>
        </w:tc>
        <w:tc>
          <w:tcPr>
            <w:tcW w:w="777" w:type="dxa"/>
            <w:vAlign w:val="center"/>
          </w:tcPr>
          <w:p>
            <w:pPr>
              <w:spacing w:line="240" w:lineRule="exact"/>
              <w:jc w:val="center"/>
              <w:rPr>
                <w:rFonts w:ascii="仿宋" w:hAnsi="仿宋" w:eastAsia="仿宋" w:cs="仿宋"/>
                <w:szCs w:val="21"/>
              </w:rPr>
            </w:pPr>
          </w:p>
        </w:tc>
        <w:tc>
          <w:tcPr>
            <w:tcW w:w="2171" w:type="dxa"/>
            <w:vAlign w:val="center"/>
          </w:tcPr>
          <w:p>
            <w:pPr>
              <w:spacing w:line="240" w:lineRule="exact"/>
              <w:rPr>
                <w:rFonts w:ascii="仿宋" w:hAnsi="仿宋" w:eastAsia="仿宋" w:cs="仿宋"/>
                <w:szCs w:val="21"/>
              </w:rPr>
            </w:pPr>
          </w:p>
        </w:tc>
        <w:tc>
          <w:tcPr>
            <w:tcW w:w="794" w:type="dxa"/>
            <w:vAlign w:val="center"/>
          </w:tcPr>
          <w:p>
            <w:pPr>
              <w:spacing w:line="240" w:lineRule="exact"/>
              <w:rPr>
                <w:rFonts w:ascii="仿宋" w:hAnsi="仿宋" w:eastAsia="仿宋" w:cs="仿宋"/>
                <w:szCs w:val="21"/>
              </w:rPr>
            </w:pPr>
          </w:p>
        </w:tc>
        <w:tc>
          <w:tcPr>
            <w:tcW w:w="2151" w:type="dxa"/>
            <w:vAlign w:val="center"/>
          </w:tcPr>
          <w:p>
            <w:pPr>
              <w:spacing w:line="240" w:lineRule="exact"/>
              <w:rPr>
                <w:rFonts w:ascii="仿宋" w:hAnsi="仿宋" w:eastAsia="仿宋" w:cs="仿宋"/>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1E4"/>
    <w:rsid w:val="000A3902"/>
    <w:rsid w:val="00164844"/>
    <w:rsid w:val="00397C69"/>
    <w:rsid w:val="0056004B"/>
    <w:rsid w:val="006F6FFF"/>
    <w:rsid w:val="00733710"/>
    <w:rsid w:val="00735898"/>
    <w:rsid w:val="007A0CE6"/>
    <w:rsid w:val="007D6D89"/>
    <w:rsid w:val="00817870"/>
    <w:rsid w:val="009219F8"/>
    <w:rsid w:val="009F2954"/>
    <w:rsid w:val="00BA2C08"/>
    <w:rsid w:val="00BE42BB"/>
    <w:rsid w:val="00D44102"/>
    <w:rsid w:val="00D45E97"/>
    <w:rsid w:val="00FE2F6C"/>
    <w:rsid w:val="03B8129A"/>
    <w:rsid w:val="075661D8"/>
    <w:rsid w:val="09D0129E"/>
    <w:rsid w:val="0F5A21E5"/>
    <w:rsid w:val="0F63786D"/>
    <w:rsid w:val="0FA15FD5"/>
    <w:rsid w:val="11D5343A"/>
    <w:rsid w:val="13870ED8"/>
    <w:rsid w:val="144630A0"/>
    <w:rsid w:val="150D5F91"/>
    <w:rsid w:val="16020555"/>
    <w:rsid w:val="19FF5571"/>
    <w:rsid w:val="1D68331A"/>
    <w:rsid w:val="1FDA4237"/>
    <w:rsid w:val="202622F1"/>
    <w:rsid w:val="20666BEF"/>
    <w:rsid w:val="24CB3EF8"/>
    <w:rsid w:val="26374D90"/>
    <w:rsid w:val="2DB40723"/>
    <w:rsid w:val="2E996EF2"/>
    <w:rsid w:val="3100004E"/>
    <w:rsid w:val="31C63091"/>
    <w:rsid w:val="32583728"/>
    <w:rsid w:val="33721192"/>
    <w:rsid w:val="36335D93"/>
    <w:rsid w:val="382569C8"/>
    <w:rsid w:val="3E0A17E1"/>
    <w:rsid w:val="412D6A95"/>
    <w:rsid w:val="436A26F8"/>
    <w:rsid w:val="444661E8"/>
    <w:rsid w:val="44C90A5C"/>
    <w:rsid w:val="459D485E"/>
    <w:rsid w:val="463445D8"/>
    <w:rsid w:val="479E5DFC"/>
    <w:rsid w:val="4ACF1438"/>
    <w:rsid w:val="4B9764A0"/>
    <w:rsid w:val="4BBB21FB"/>
    <w:rsid w:val="4BD82B17"/>
    <w:rsid w:val="4C1F61AF"/>
    <w:rsid w:val="4D7223EF"/>
    <w:rsid w:val="4DD81C72"/>
    <w:rsid w:val="50EE172F"/>
    <w:rsid w:val="54096EB0"/>
    <w:rsid w:val="597315A9"/>
    <w:rsid w:val="59D2359D"/>
    <w:rsid w:val="602141A3"/>
    <w:rsid w:val="617452CF"/>
    <w:rsid w:val="63E86F2C"/>
    <w:rsid w:val="6B5C3D5D"/>
    <w:rsid w:val="73692037"/>
    <w:rsid w:val="74562044"/>
    <w:rsid w:val="74D43F2B"/>
    <w:rsid w:val="77373F35"/>
    <w:rsid w:val="789D66C7"/>
    <w:rsid w:val="79946C96"/>
    <w:rsid w:val="7D2D06E0"/>
    <w:rsid w:val="7E154A70"/>
    <w:rsid w:val="7F4D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600" w:lineRule="exact"/>
      <w:jc w:val="center"/>
      <w:outlineLvl w:val="0"/>
    </w:pPr>
    <w:rPr>
      <w:rFonts w:eastAsia="方正小标宋简体"/>
      <w:kern w:val="44"/>
      <w:sz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Times New Roman" w:hAnsi="Times New Roman" w:eastAsia="方正小标宋简体" w:cs="Times New Roman"/>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410</Words>
  <Characters>2341</Characters>
  <Lines>19</Lines>
  <Paragraphs>5</Paragraphs>
  <TotalTime>18</TotalTime>
  <ScaleCrop>false</ScaleCrop>
  <LinksUpToDate>false</LinksUpToDate>
  <CharactersWithSpaces>2746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2019-12-10T01:15:00Z</dcterms:created>
  <dc:creator>陈 奎</dc:creator>
  <cp:lastModifiedBy>Administrator</cp:lastModifiedBy>
  <dcterms:modified xsi:type="dcterms:W3CDTF">2020-05-12T00:58:58Z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