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rPr>
          <w:rFonts w:cs="Times New Roman"/>
        </w:rPr>
      </w:pPr>
    </w:p>
    <w:p>
      <w:pPr>
        <w:rPr>
          <w:rFonts w:cs="Times New Roman"/>
        </w:rPr>
      </w:pPr>
    </w:p>
    <w:p>
      <w:pPr>
        <w:jc w:val="center"/>
        <w:rPr>
          <w:rFonts w:cs="Times New Roman"/>
          <w:sz w:val="30"/>
          <w:szCs w:val="30"/>
        </w:rPr>
      </w:pPr>
      <w:r>
        <w:rPr>
          <w:rFonts w:hint="eastAsia" w:cs="宋体"/>
          <w:sz w:val="30"/>
          <w:szCs w:val="30"/>
        </w:rPr>
        <w:t>淮阳县人民法庭</w:t>
      </w:r>
      <w:r>
        <w:rPr>
          <w:sz w:val="30"/>
          <w:szCs w:val="30"/>
        </w:rPr>
        <w:t>2016</w:t>
      </w:r>
      <w:r>
        <w:rPr>
          <w:rFonts w:hint="eastAsia" w:cs="宋体"/>
          <w:sz w:val="30"/>
          <w:szCs w:val="30"/>
        </w:rPr>
        <w:t>年部门决算公开情况说明</w:t>
      </w:r>
    </w:p>
    <w:p>
      <w:pPr>
        <w:jc w:val="center"/>
        <w:rPr>
          <w:rFonts w:cs="Times New Roman"/>
          <w:sz w:val="30"/>
          <w:szCs w:val="30"/>
        </w:rPr>
      </w:pPr>
    </w:p>
    <w:p>
      <w:pPr>
        <w:numPr>
          <w:ilvl w:val="0"/>
          <w:numId w:val="1"/>
        </w:numPr>
        <w:rPr>
          <w:rFonts w:cs="Times New Roman"/>
          <w:sz w:val="30"/>
          <w:szCs w:val="30"/>
        </w:rPr>
      </w:pPr>
      <w:r>
        <w:rPr>
          <w:rFonts w:hint="eastAsia" w:cs="宋体"/>
          <w:sz w:val="30"/>
          <w:szCs w:val="30"/>
        </w:rPr>
        <w:t>部门机构设置</w:t>
      </w:r>
    </w:p>
    <w:p>
      <w:pPr>
        <w:ind w:firstLine="31680" w:firstLineChars="200"/>
        <w:rPr>
          <w:rFonts w:cs="Times New Roman"/>
          <w:sz w:val="30"/>
          <w:szCs w:val="30"/>
        </w:rPr>
      </w:pPr>
      <w:r>
        <w:rPr>
          <w:rFonts w:hint="eastAsia" w:cs="宋体"/>
          <w:sz w:val="30"/>
          <w:szCs w:val="30"/>
        </w:rPr>
        <w:t>我院现有机构：政治处、人事科、宣传科、老干部科、办公室、审管办、案件评查办公室、纪检监察室、行管科、机关事务接待办、技术室、法警队、民事一庭、民事二庭、刑事庭、立案庭、少年庭、行政庭、审判监督庭、执行一庭、执行二庭、综合科、王店法庭、郑集法庭、朱集法庭、刘振屯法庭、临蔡法庭、大连法庭等</w:t>
      </w:r>
      <w:r>
        <w:rPr>
          <w:sz w:val="30"/>
          <w:szCs w:val="30"/>
        </w:rPr>
        <w:t>28</w:t>
      </w:r>
      <w:r>
        <w:rPr>
          <w:rFonts w:hint="eastAsia" w:cs="宋体"/>
          <w:sz w:val="30"/>
          <w:szCs w:val="30"/>
        </w:rPr>
        <w:t>个部门。</w:t>
      </w:r>
    </w:p>
    <w:p>
      <w:pPr>
        <w:numPr>
          <w:ilvl w:val="0"/>
          <w:numId w:val="1"/>
        </w:numPr>
        <w:rPr>
          <w:rFonts w:cs="Times New Roman"/>
          <w:sz w:val="30"/>
          <w:szCs w:val="30"/>
        </w:rPr>
      </w:pPr>
      <w:r>
        <w:rPr>
          <w:rFonts w:hint="eastAsia" w:cs="宋体"/>
          <w:sz w:val="30"/>
          <w:szCs w:val="30"/>
        </w:rPr>
        <w:t>部门职能</w:t>
      </w:r>
    </w:p>
    <w:p>
      <w:pPr>
        <w:rPr>
          <w:rFonts w:cs="Times New Roman"/>
          <w:sz w:val="30"/>
          <w:szCs w:val="30"/>
        </w:rPr>
      </w:pPr>
      <w:r>
        <w:rPr>
          <w:sz w:val="30"/>
          <w:szCs w:val="30"/>
        </w:rPr>
        <w:t xml:space="preserve">    </w:t>
      </w:r>
      <w:r>
        <w:rPr>
          <w:rFonts w:hint="eastAsia" w:cs="宋体"/>
          <w:sz w:val="30"/>
          <w:szCs w:val="30"/>
        </w:rPr>
        <w:t>我院职能：审判、执行，为我县经济发展、法制建设保驾护航。</w:t>
      </w:r>
    </w:p>
    <w:p>
      <w:pPr>
        <w:numPr>
          <w:ilvl w:val="0"/>
          <w:numId w:val="1"/>
        </w:numPr>
        <w:rPr>
          <w:rFonts w:cs="Times New Roman"/>
          <w:sz w:val="30"/>
          <w:szCs w:val="30"/>
        </w:rPr>
      </w:pPr>
      <w:r>
        <w:rPr>
          <w:rFonts w:hint="eastAsia" w:cs="宋体"/>
          <w:sz w:val="30"/>
          <w:szCs w:val="30"/>
        </w:rPr>
        <w:t>收入支出总体情况</w:t>
      </w:r>
    </w:p>
    <w:p>
      <w:pPr>
        <w:ind w:firstLine="31680" w:firstLineChars="100"/>
        <w:rPr>
          <w:rFonts w:cs="Times New Roman"/>
          <w:sz w:val="30"/>
          <w:szCs w:val="30"/>
        </w:rPr>
      </w:pPr>
      <w:r>
        <w:rPr>
          <w:rFonts w:hint="eastAsia" w:cs="宋体"/>
          <w:sz w:val="30"/>
          <w:szCs w:val="30"/>
        </w:rPr>
        <w:t>（一）</w:t>
      </w:r>
      <w:r>
        <w:rPr>
          <w:sz w:val="30"/>
          <w:szCs w:val="30"/>
        </w:rPr>
        <w:t>2016</w:t>
      </w:r>
      <w:r>
        <w:rPr>
          <w:rFonts w:hint="eastAsia" w:cs="宋体"/>
          <w:sz w:val="30"/>
          <w:szCs w:val="30"/>
        </w:rPr>
        <w:t>年淮阳县人民法院部门收入总计</w:t>
      </w:r>
      <w:r>
        <w:rPr>
          <w:sz w:val="30"/>
          <w:szCs w:val="30"/>
        </w:rPr>
        <w:t xml:space="preserve"> 1606.94</w:t>
      </w:r>
      <w:r>
        <w:rPr>
          <w:rFonts w:hint="eastAsia" w:cs="宋体"/>
          <w:sz w:val="30"/>
          <w:szCs w:val="30"/>
        </w:rPr>
        <w:t>万元，年初结转</w:t>
      </w:r>
      <w:r>
        <w:rPr>
          <w:sz w:val="30"/>
          <w:szCs w:val="30"/>
        </w:rPr>
        <w:t>0</w:t>
      </w:r>
      <w:r>
        <w:rPr>
          <w:rFonts w:hint="eastAsia" w:cs="宋体"/>
          <w:sz w:val="30"/>
          <w:szCs w:val="30"/>
        </w:rPr>
        <w:t>万元</w:t>
      </w:r>
    </w:p>
    <w:p>
      <w:pPr>
        <w:numPr>
          <w:ilvl w:val="0"/>
          <w:numId w:val="2"/>
        </w:numPr>
        <w:rPr>
          <w:rFonts w:cs="Times New Roman"/>
          <w:sz w:val="30"/>
          <w:szCs w:val="30"/>
        </w:rPr>
      </w:pPr>
      <w:r>
        <w:rPr>
          <w:rFonts w:hint="eastAsia" w:cs="宋体"/>
          <w:sz w:val="30"/>
          <w:szCs w:val="30"/>
        </w:rPr>
        <w:t>支出总计</w:t>
      </w:r>
      <w:r>
        <w:rPr>
          <w:sz w:val="30"/>
          <w:szCs w:val="30"/>
        </w:rPr>
        <w:t>1606.94</w:t>
      </w:r>
      <w:r>
        <w:rPr>
          <w:rFonts w:hint="eastAsia" w:cs="宋体"/>
          <w:sz w:val="30"/>
          <w:szCs w:val="30"/>
        </w:rPr>
        <w:t>万元：其中：基本支出</w:t>
      </w:r>
      <w:r>
        <w:rPr>
          <w:sz w:val="30"/>
          <w:szCs w:val="30"/>
        </w:rPr>
        <w:t xml:space="preserve"> 1606.94</w:t>
      </w:r>
      <w:r>
        <w:rPr>
          <w:rFonts w:hint="eastAsia" w:cs="宋体"/>
          <w:sz w:val="30"/>
          <w:szCs w:val="30"/>
        </w:rPr>
        <w:t>万元，项目支出</w:t>
      </w:r>
      <w:r>
        <w:rPr>
          <w:sz w:val="30"/>
          <w:szCs w:val="30"/>
        </w:rPr>
        <w:t xml:space="preserve"> 0</w:t>
      </w:r>
      <w:r>
        <w:rPr>
          <w:rFonts w:hint="eastAsia" w:cs="宋体"/>
          <w:sz w:val="30"/>
          <w:szCs w:val="30"/>
        </w:rPr>
        <w:t>万元，本年结余</w:t>
      </w:r>
      <w:r>
        <w:rPr>
          <w:sz w:val="30"/>
          <w:szCs w:val="30"/>
        </w:rPr>
        <w:t xml:space="preserve"> 0 </w:t>
      </w:r>
      <w:r>
        <w:rPr>
          <w:rFonts w:hint="eastAsia" w:cs="宋体"/>
          <w:sz w:val="30"/>
          <w:szCs w:val="30"/>
        </w:rPr>
        <w:t>万元。</w:t>
      </w:r>
    </w:p>
    <w:p>
      <w:pPr>
        <w:ind w:firstLine="640" w:firstLineChars="200"/>
        <w:rPr>
          <w:rFonts w:hint="eastAsia" w:cs="宋体"/>
          <w:sz w:val="30"/>
          <w:szCs w:val="30"/>
        </w:rPr>
      </w:pPr>
      <w:r>
        <w:rPr>
          <w:rFonts w:hint="eastAsia" w:cs="宋体"/>
          <w:sz w:val="30"/>
          <w:szCs w:val="30"/>
        </w:rPr>
        <w:t>“三公”经费支出</w:t>
      </w:r>
      <w:r>
        <w:rPr>
          <w:sz w:val="30"/>
          <w:szCs w:val="30"/>
        </w:rPr>
        <w:t xml:space="preserve"> 13.48 </w:t>
      </w:r>
      <w:r>
        <w:rPr>
          <w:rFonts w:hint="eastAsia" w:cs="宋体"/>
          <w:sz w:val="30"/>
          <w:szCs w:val="30"/>
        </w:rPr>
        <w:t>万元；其中：公务接待费用</w:t>
      </w:r>
      <w:r>
        <w:rPr>
          <w:sz w:val="30"/>
          <w:szCs w:val="30"/>
        </w:rPr>
        <w:t xml:space="preserve">1.2  </w:t>
      </w:r>
      <w:r>
        <w:rPr>
          <w:rFonts w:hint="eastAsia" w:cs="宋体"/>
          <w:sz w:val="30"/>
          <w:szCs w:val="30"/>
        </w:rPr>
        <w:t>万元，</w:t>
      </w:r>
      <w:r>
        <w:rPr>
          <w:sz w:val="30"/>
          <w:szCs w:val="30"/>
        </w:rPr>
        <w:t xml:space="preserve"> </w:t>
      </w:r>
      <w:r>
        <w:rPr>
          <w:rFonts w:hint="eastAsia" w:cs="宋体"/>
          <w:sz w:val="30"/>
          <w:szCs w:val="30"/>
        </w:rPr>
        <w:t>接待</w:t>
      </w:r>
      <w:r>
        <w:rPr>
          <w:sz w:val="30"/>
          <w:szCs w:val="30"/>
        </w:rPr>
        <w:t xml:space="preserve">345 </w:t>
      </w:r>
      <w:r>
        <w:rPr>
          <w:rFonts w:hint="eastAsia" w:cs="宋体"/>
          <w:sz w:val="30"/>
          <w:szCs w:val="30"/>
        </w:rPr>
        <w:t>人次，接待</w:t>
      </w:r>
      <w:r>
        <w:rPr>
          <w:sz w:val="30"/>
          <w:szCs w:val="30"/>
        </w:rPr>
        <w:t xml:space="preserve">59 </w:t>
      </w:r>
      <w:r>
        <w:rPr>
          <w:rFonts w:hint="eastAsia" w:cs="宋体"/>
          <w:sz w:val="30"/>
          <w:szCs w:val="30"/>
        </w:rPr>
        <w:t>批。我单位现有车辆</w:t>
      </w:r>
      <w:r>
        <w:rPr>
          <w:sz w:val="30"/>
          <w:szCs w:val="30"/>
        </w:rPr>
        <w:t xml:space="preserve"> 17</w:t>
      </w:r>
      <w:r>
        <w:rPr>
          <w:rFonts w:hint="eastAsia" w:cs="宋体"/>
          <w:sz w:val="30"/>
          <w:szCs w:val="30"/>
        </w:rPr>
        <w:t>辆，公务车辆运行和维护费</w:t>
      </w:r>
      <w:r>
        <w:rPr>
          <w:sz w:val="30"/>
          <w:szCs w:val="30"/>
        </w:rPr>
        <w:t xml:space="preserve"> 17.28 </w:t>
      </w:r>
      <w:r>
        <w:rPr>
          <w:rFonts w:hint="eastAsia" w:cs="宋体"/>
          <w:sz w:val="30"/>
          <w:szCs w:val="30"/>
        </w:rPr>
        <w:t>万元，全年没有购置公用用车。全年没有因公出国处境费用。三公经费总的支出比去年减少，原因是我单位严格执行中央“八项规定”，严格控制来客招待次数和标准，严格控制公用用车。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政府性基金支出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0万元，政府采购支出0万元。</w:t>
      </w: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widowControl w:val="0"/>
        <w:numPr>
          <w:numId w:val="0"/>
        </w:numPr>
        <w:jc w:val="both"/>
        <w:rPr>
          <w:rFonts w:cs="Times New Roman"/>
          <w:sz w:val="30"/>
          <w:szCs w:val="30"/>
        </w:rPr>
      </w:pPr>
    </w:p>
    <w:p>
      <w:pPr>
        <w:widowControl w:val="0"/>
        <w:numPr>
          <w:numId w:val="0"/>
        </w:numPr>
        <w:jc w:val="both"/>
        <w:rPr>
          <w:rFonts w:cs="Times New Roman"/>
          <w:sz w:val="30"/>
          <w:szCs w:val="30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Calibri">
    <w:panose1 w:val="020F0502020204030204"/>
    <w:charset w:val="00"/>
    <w:family w:val="auto"/>
    <w:pitch w:val="default"/>
    <w:sig w:usb0="A00002EF" w:usb1="4000207B" w:usb2="00000000" w:usb3="00000000" w:csb0="2000009F" w:csb1="00000000"/>
  </w:font>
  <w:font w:name="Cambria">
    <w:panose1 w:val="02040503050406030204"/>
    <w:charset w:val="00"/>
    <w:family w:val="auto"/>
    <w:pitch w:val="default"/>
    <w:sig w:usb0="A00002EF" w:usb1="4000004B" w:usb2="00000000" w:usb3="00000000" w:csb0="2000009F" w:csb1="00000000"/>
  </w:font>
  <w:font w:name="方正小标宋简体">
    <w:altName w:val="微软雅黑"/>
    <w:panose1 w:val="03000509000000000000"/>
    <w:charset w:val="86"/>
    <w:family w:val="script"/>
    <w:pitch w:val="default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_5b8b_4f53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00000287" w:usb1="00000000" w:usb2="00000000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altName w:val="楷体_GB2312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 Math">
    <w:panose1 w:val="02040503050406030204"/>
    <w:charset w:val="00"/>
    <w:family w:val="roman"/>
    <w:pitch w:val="default"/>
    <w:sig w:usb0="A00002EF" w:usb1="420020EB" w:usb2="00000000" w:usb3="00000000" w:csb0="2000009F" w:csb1="00000000"/>
  </w:font>
  <w:font w:name="Palatino Linotype">
    <w:panose1 w:val="02040502050505030304"/>
    <w:charset w:val="00"/>
    <w:family w:val="auto"/>
    <w:pitch w:val="default"/>
    <w:sig w:usb0="E0000387" w:usb1="40000013" w:usb2="00000000" w:usb3="00000000" w:csb0="2000019F" w:csb1="00000000"/>
  </w:font>
  <w:font w:name="Century Gothic">
    <w:altName w:val="Trebuchet MS"/>
    <w:panose1 w:val="020B0502020202020204"/>
    <w:charset w:val="00"/>
    <w:family w:val="auto"/>
    <w:pitch w:val="default"/>
    <w:sig w:usb0="00000287" w:usb1="00000000" w:usb2="00000000" w:usb3="00000000" w:csb0="2000009F" w:csb1="DFD70000"/>
  </w:font>
  <w:font w:name="΢���ź�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Trebuchet MS">
    <w:panose1 w:val="020B0603020202020204"/>
    <w:charset w:val="00"/>
    <w:family w:val="auto"/>
    <w:pitch w:val="default"/>
    <w:sig w:usb0="00000287" w:usb1="00000000" w:usb2="00000000" w:usb3="00000000" w:csb0="2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2">
    <w:nsid w:val="00000002"/>
    <w:multiLevelType w:val="singleLevel"/>
    <w:tmpl w:val="00000002"/>
    <w:lvl w:ilvl="0" w:tentative="1">
      <w:start w:val="2"/>
      <w:numFmt w:val="chineseCounting"/>
      <w:suff w:val="nothing"/>
      <w:lvlText w:val="（%1）"/>
      <w:lvlJc w:val="left"/>
    </w:lvl>
  </w:abstractNum>
  <w:abstractNum w:abstractNumId="4">
    <w:nsid w:val="00000004"/>
    <w:multiLevelType w:val="singleLevel"/>
    <w:tmpl w:val="00000004"/>
    <w:lvl w:ilvl="0" w:tentative="1">
      <w:start w:val="1"/>
      <w:numFmt w:val="chineseCounting"/>
      <w:suff w:val="nothing"/>
      <w:lvlText w:val="%1、"/>
      <w:lvlJc w:val="left"/>
    </w:lvl>
  </w:abstractNum>
  <w:num w:numId="1">
    <w:abstractNumId w:val="4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Calibri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2">
    <w:name w:val="Default Paragraph Font"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Relationship Id="rId6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China</Company>
  <Pages>2</Pages>
  <Words>72</Words>
  <Characters>415</Characters>
  <Lines>0</Lines>
  <Paragraphs>0</Paragraphs>
  <TotalTime>0</TotalTime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Administrator</dc:creator>
  <dcterms:modified xsi:type="dcterms:W3CDTF">2017-11-10T14:20:19Z</dcterms:modified>
  <dc:title>User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