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rPr>
          <w:rFonts w:hint="eastAsia" w:eastAsia="宋体"/>
          <w:lang w:eastAsia="zh-CN"/>
        </w:rPr>
      </w:pPr>
    </w:p>
    <w:p>
      <w:pPr>
        <w:rPr>
          <w:rFonts w:hint="eastAsia" w:eastAsia="宋体"/>
          <w:lang w:eastAsia="zh-CN"/>
        </w:rPr>
      </w:pPr>
    </w:p>
    <w:p>
      <w:pPr>
        <w:jc w:val="center"/>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eastAsia="zh-CN"/>
        </w:rPr>
        <w:t>淮阳县</w:t>
      </w:r>
      <w:r>
        <w:rPr>
          <w:rFonts w:hint="eastAsia" w:ascii="方正小标宋简体" w:hAnsi="方正小标宋简体" w:eastAsia="方正小标宋简体" w:cs="方正小标宋简体"/>
          <w:sz w:val="44"/>
          <w:szCs w:val="44"/>
          <w:lang w:val="en-US" w:eastAsia="zh-CN"/>
        </w:rPr>
        <w:t>纪律检查委员会2016年部门决算公开情况说明</w:t>
      </w:r>
    </w:p>
    <w:p>
      <w:pPr>
        <w:jc w:val="center"/>
        <w:rPr>
          <w:rFonts w:hint="eastAsia" w:ascii="方正小标宋简体" w:hAnsi="方正小标宋简体" w:eastAsia="方正小标宋简体" w:cs="方正小标宋简体"/>
          <w:sz w:val="44"/>
          <w:szCs w:val="44"/>
          <w:lang w:val="en-US" w:eastAsia="zh-CN"/>
        </w:rPr>
      </w:pPr>
    </w:p>
    <w:p>
      <w:pPr>
        <w:numPr>
          <w:ilvl w:val="0"/>
          <w:numId w:val="1"/>
        </w:numPr>
        <w:ind w:firstLine="640" w:firstLineChars="200"/>
        <w:rPr>
          <w:rFonts w:hint="eastAsia" w:ascii="仿宋" w:hAnsi="仿宋" w:eastAsia="仿宋" w:cs="仿宋"/>
          <w:sz w:val="32"/>
          <w:szCs w:val="32"/>
          <w:lang w:val="en-US" w:eastAsia="zh-CN"/>
        </w:rPr>
      </w:pPr>
      <w:r>
        <w:rPr>
          <w:rFonts w:hint="eastAsia" w:ascii="仿宋" w:hAnsi="仿宋" w:eastAsia="仿宋" w:cs="仿宋"/>
          <w:b/>
          <w:bCs/>
          <w:sz w:val="32"/>
          <w:szCs w:val="32"/>
          <w:lang w:val="en-US" w:eastAsia="zh-CN"/>
        </w:rPr>
        <w:t>部门机构设置：</w:t>
      </w:r>
    </w:p>
    <w:p>
      <w:pPr>
        <w:numPr>
          <w:numId w:val="0"/>
        </w:num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淮阳县纪委监察局内设20个部室：</w:t>
      </w:r>
      <w:r>
        <w:rPr>
          <w:rFonts w:hint="eastAsia" w:ascii="仿宋" w:hAnsi="仿宋" w:eastAsia="仿宋" w:cs="仿宋"/>
          <w:b w:val="0"/>
          <w:i w:val="0"/>
          <w:caps w:val="0"/>
          <w:color w:val="000000"/>
          <w:spacing w:val="0"/>
          <w:sz w:val="32"/>
          <w:szCs w:val="32"/>
          <w:shd w:val="clear" w:color="080000" w:fill="FFFFFF"/>
        </w:rPr>
        <w:t>办公室、组织部、宣传部、研究室、法规室、党风政风监督室、信访室、案件管理室、第一纪检监察室、第二纪检监察室、第三纪检监察室、第四纪检监察室、第五纪检监察室、第六纪检监察室、第七纪检监察室、案件审理室、干部监督室、宣教培训中心、网络监察中心、民生热线。</w:t>
      </w:r>
      <w:r>
        <w:rPr>
          <w:rFonts w:hint="eastAsia" w:ascii="仿宋" w:hAnsi="仿宋" w:eastAsia="仿宋" w:cs="仿宋"/>
          <w:b w:val="0"/>
          <w:i w:val="0"/>
          <w:caps w:val="0"/>
          <w:color w:val="000000"/>
          <w:spacing w:val="0"/>
          <w:sz w:val="32"/>
          <w:szCs w:val="32"/>
          <w:shd w:val="clear" w:color="080000" w:fill="FFFFFF"/>
          <w:lang w:eastAsia="zh-CN"/>
        </w:rPr>
        <w:t>（注：</w:t>
      </w:r>
      <w:r>
        <w:rPr>
          <w:rFonts w:hint="eastAsia" w:ascii="仿宋" w:hAnsi="仿宋" w:eastAsia="仿宋" w:cs="仿宋"/>
          <w:b w:val="0"/>
          <w:i w:val="0"/>
          <w:caps w:val="0"/>
          <w:color w:val="000000"/>
          <w:spacing w:val="0"/>
          <w:sz w:val="32"/>
          <w:szCs w:val="32"/>
          <w:shd w:val="clear" w:color="080000" w:fill="FFFFFF"/>
          <w:lang w:val="en-US" w:eastAsia="zh-CN"/>
        </w:rPr>
        <w:t>18个乡镇纪委经费代管</w:t>
      </w:r>
      <w:r>
        <w:rPr>
          <w:rFonts w:hint="eastAsia" w:ascii="仿宋" w:hAnsi="仿宋" w:eastAsia="仿宋" w:cs="仿宋"/>
          <w:b w:val="0"/>
          <w:i w:val="0"/>
          <w:caps w:val="0"/>
          <w:color w:val="000000"/>
          <w:spacing w:val="0"/>
          <w:sz w:val="32"/>
          <w:szCs w:val="32"/>
          <w:shd w:val="clear" w:color="080000" w:fill="FFFFFF"/>
          <w:lang w:eastAsia="zh-CN"/>
        </w:rPr>
        <w:t>）</w:t>
      </w:r>
    </w:p>
    <w:p>
      <w:pPr>
        <w:numPr>
          <w:ilvl w:val="0"/>
          <w:numId w:val="1"/>
        </w:numPr>
        <w:ind w:firstLine="640" w:firstLineChars="200"/>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部门职能：</w:t>
      </w:r>
    </w:p>
    <w:p>
      <w:pPr>
        <w:numPr>
          <w:numId w:val="0"/>
        </w:numPr>
        <w:ind w:firstLine="640" w:firstLineChars="200"/>
        <w:rPr>
          <w:rFonts w:hint="eastAsia" w:ascii="仿宋" w:hAnsi="仿宋" w:eastAsia="仿宋" w:cs="仿宋"/>
          <w:sz w:val="32"/>
          <w:szCs w:val="32"/>
        </w:rPr>
      </w:pPr>
      <w:r>
        <w:rPr>
          <w:rFonts w:hint="eastAsia" w:ascii="仿宋" w:hAnsi="仿宋" w:eastAsia="仿宋" w:cs="仿宋"/>
          <w:sz w:val="32"/>
          <w:szCs w:val="32"/>
        </w:rPr>
        <w:t>1. 主管全县党的纪律检查工作，负责贯彻落实关于加强党风廉政建设的决定，维护党的章程和党的其他法规,检查党的路线、方针、政策和决议的执行情况;对</w:t>
      </w:r>
      <w:r>
        <w:rPr>
          <w:rFonts w:hint="eastAsia" w:ascii="仿宋" w:hAnsi="仿宋" w:eastAsia="仿宋" w:cs="仿宋"/>
          <w:sz w:val="32"/>
          <w:szCs w:val="32"/>
          <w:lang w:eastAsia="zh-CN"/>
        </w:rPr>
        <w:t>党</w:t>
      </w:r>
      <w:r>
        <w:rPr>
          <w:rFonts w:hint="eastAsia" w:ascii="仿宋" w:hAnsi="仿宋" w:eastAsia="仿宋" w:cs="仿宋"/>
          <w:sz w:val="32"/>
          <w:szCs w:val="32"/>
        </w:rPr>
        <w:t>的纪律检查工作有关问题进行调查研究;</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 负责检查并处理县委、县政府各部门以及各</w:t>
      </w:r>
      <w:r>
        <w:rPr>
          <w:rFonts w:hint="eastAsia" w:ascii="仿宋" w:hAnsi="仿宋" w:eastAsia="仿宋" w:cs="仿宋"/>
          <w:sz w:val="32"/>
          <w:szCs w:val="32"/>
          <w:lang w:eastAsia="zh-CN"/>
        </w:rPr>
        <w:t>乡</w:t>
      </w:r>
      <w:r>
        <w:rPr>
          <w:rFonts w:hint="eastAsia" w:ascii="仿宋" w:hAnsi="仿宋" w:eastAsia="仿宋" w:cs="仿宋"/>
          <w:sz w:val="32"/>
          <w:szCs w:val="32"/>
        </w:rPr>
        <w:t>镇党的组织和县委管理的党员领导干部违反党的章程和党的其他法规的案件，决定或取消对这些案件中党员的处分;受理党员的控告和申诉;</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3. 负责制定党风党纪教育规划,做好党的纪检方针,政策的宣传和对党员遵守纪律的教育工作;表彰抓党风党纪成绩突出的先进单位和先进个人;</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4. 会同县委、县政府各部门以及各</w:t>
      </w:r>
      <w:r>
        <w:rPr>
          <w:rFonts w:hint="eastAsia" w:ascii="仿宋" w:hAnsi="仿宋" w:eastAsia="仿宋" w:cs="仿宋"/>
          <w:sz w:val="32"/>
          <w:szCs w:val="32"/>
          <w:lang w:eastAsia="zh-CN"/>
        </w:rPr>
        <w:t>乡</w:t>
      </w:r>
      <w:r>
        <w:rPr>
          <w:rFonts w:hint="eastAsia" w:ascii="仿宋" w:hAnsi="仿宋" w:eastAsia="仿宋" w:cs="仿宋"/>
          <w:sz w:val="32"/>
          <w:szCs w:val="32"/>
        </w:rPr>
        <w:t>镇党委和政府做好纪检监察干部的管理工作，审核、考察各</w:t>
      </w:r>
      <w:r>
        <w:rPr>
          <w:rFonts w:hint="eastAsia" w:ascii="仿宋" w:hAnsi="仿宋" w:eastAsia="仿宋" w:cs="仿宋"/>
          <w:sz w:val="32"/>
          <w:szCs w:val="32"/>
          <w:lang w:eastAsia="zh-CN"/>
        </w:rPr>
        <w:t>乡</w:t>
      </w:r>
      <w:r>
        <w:rPr>
          <w:rFonts w:hint="eastAsia" w:ascii="仿宋" w:hAnsi="仿宋" w:eastAsia="仿宋" w:cs="仿宋"/>
          <w:sz w:val="32"/>
          <w:szCs w:val="32"/>
        </w:rPr>
        <w:t>镇、部门纪委领导班子和领导干部人选,负责纪委监察局派驻、派出(党组、党委)纪检监察机构干部的提名，并会同组织部门考察;配合组织和指导全县纪检监察系统干部的培训工作;会同县委组织部对全县科级干部廉政情况进行考察;</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5. 主管全县行政监察工作。负责贯彻落实上级纪检监察机关和县委、县政府有关行政监察工作的决定;监督检查国家政策和法律规定、国家经济和社会发展计划及省、市、县政府颁发的决议和命令的执行情况;</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6. 负责调查处理县政府各部门及其工作人员和各镇政府及其负责人违反国家政策、法律、法规以及违反政纪的行为，作出行政处分（对涉及选举产生的领导干部按法定程序办理）;受理监察对象不服政纪处分的申诉,受理个人或单位对监察对象违纪行为的检举、控告;</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7. 会同有关部门做好行政监察工作方针政策和法律法规的宣传工作,教育国家工作人员遵纪守法、为政清廉;</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8. 调查研究县政府各部门和镇政府有关政策、法规的制定情况,对违反国家法律、法规和有损国家利益的条款，提出修改意见;</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9. 承办县委、县政府和上级纪检监察机关交办的其他工作。</w:t>
      </w:r>
    </w:p>
    <w:p>
      <w:pPr>
        <w:numPr>
          <w:numId w:val="0"/>
        </w:numPr>
        <w:ind w:firstLine="640" w:firstLineChars="200"/>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三、收入支出总体情况</w:t>
      </w:r>
    </w:p>
    <w:p>
      <w:pPr>
        <w:numPr>
          <w:numId w:val="0"/>
        </w:numPr>
        <w:ind w:firstLine="320" w:firstLineChars="1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（一）2016年纪委监察局部门收入总计1138.18万元，年初结转 0万元</w:t>
      </w:r>
    </w:p>
    <w:p>
      <w:pPr>
        <w:numPr>
          <w:ilvl w:val="0"/>
          <w:numId w:val="2"/>
        </w:num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支出总计 1138.18万元：其中：基本支出 1138.18  万元，项目支出0 万元，本年结余 0万元。</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“三公”经费支出 147130万元；其中：公务接待费用21900 万元， 接待 831人次，接待 36批。我单位现有车辆7辆，公务车辆运行和维护费96500万元，全年没有购置公用用车（根据实际情况说明）。全年没有因公出国处境费用（根据各单位实际情况说明）。三公经费总的支出比去年减少（根据各单位实际情况说明），原因是我单位严格执行中央“八项规定”，严格控制来客招待次数和标准，严格控制公用用车。</w:t>
      </w:r>
    </w:p>
    <w:p>
      <w:pPr>
        <w:ind w:firstLine="640" w:firstLineChars="200"/>
        <w:rPr>
          <w:rFonts w:hint="eastAsia" w:ascii="仿宋_GB2312" w:eastAsia="仿宋_GB2312"/>
          <w:b w:val="0"/>
          <w:bCs w:val="0"/>
          <w:sz w:val="32"/>
          <w:szCs w:val="32"/>
        </w:rPr>
      </w:pPr>
      <w:r>
        <w:rPr>
          <w:rFonts w:hint="eastAsia"/>
          <w:b w:val="0"/>
          <w:bCs w:val="0"/>
          <w:sz w:val="32"/>
          <w:szCs w:val="32"/>
          <w:lang w:eastAsia="zh-CN"/>
        </w:rPr>
        <w:t>政府性基金支出</w:t>
      </w:r>
      <w:r>
        <w:rPr>
          <w:rFonts w:hint="eastAsia"/>
          <w:b w:val="0"/>
          <w:bCs w:val="0"/>
          <w:sz w:val="32"/>
          <w:szCs w:val="32"/>
          <w:lang w:val="en-US" w:eastAsia="zh-CN"/>
        </w:rPr>
        <w:t>0万元，政府采购支出0万元。</w:t>
      </w:r>
    </w:p>
    <w:p>
      <w:pPr>
        <w:rPr>
          <w:rFonts w:hint="eastAsia" w:ascii="仿宋_GB2312" w:eastAsia="仿宋_GB2312"/>
          <w:sz w:val="32"/>
          <w:szCs w:val="32"/>
        </w:rPr>
      </w:pPr>
    </w:p>
    <w:p>
      <w:pPr>
        <w:widowControl w:val="0"/>
        <w:numPr>
          <w:numId w:val="0"/>
        </w:numPr>
        <w:jc w:val="both"/>
        <w:rPr>
          <w:rFonts w:hint="eastAsia" w:ascii="仿宋" w:hAnsi="仿宋" w:eastAsia="仿宋" w:cs="仿宋"/>
          <w:sz w:val="32"/>
          <w:szCs w:val="32"/>
          <w:lang w:val="en-US" w:eastAsia="zh-CN"/>
        </w:rPr>
      </w:pPr>
      <w:bookmarkStart w:id="0" w:name="_GoBack"/>
      <w:bookmarkEnd w:id="0"/>
    </w:p>
    <w:p>
      <w:pPr>
        <w:widowControl w:val="0"/>
        <w:numPr>
          <w:numId w:val="0"/>
        </w:numPr>
        <w:jc w:val="both"/>
        <w:rPr>
          <w:rFonts w:hint="eastAsia" w:ascii="仿宋" w:hAnsi="仿宋" w:eastAsia="仿宋" w:cs="仿宋"/>
          <w:sz w:val="32"/>
          <w:szCs w:val="32"/>
          <w:lang w:val="en-US" w:eastAsia="zh-CN"/>
        </w:rPr>
      </w:pPr>
    </w:p>
    <w:sectPr>
      <w:pgSz w:w="11906" w:h="16838"/>
      <w:pgMar w:top="1440" w:right="1800" w:bottom="1440" w:left="1800" w:header="851" w:footer="992" w:gutter="0"/>
      <w:cols w:space="720" w:num="1"/>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Tahoma">
    <w:panose1 w:val="020B0604030504040204"/>
    <w:charset w:val="00"/>
    <w:family w:val="auto"/>
    <w:pitch w:val="default"/>
    <w:sig w:usb0="61007A87" w:usb1="80000000" w:usb2="00000008" w:usb3="00000000" w:csb0="200101FF" w:csb1="20280000"/>
  </w:font>
  <w:font w:name="Symbol">
    <w:panose1 w:val="05050102010706020507"/>
    <w:charset w:val="02"/>
    <w:family w:val="roman"/>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Wingdings">
    <w:panose1 w:val="05000000000000000000"/>
    <w:charset w:val="02"/>
    <w:family w:val="auto"/>
    <w:pitch w:val="default"/>
    <w:sig w:usb0="00000000" w:usb1="00000000" w:usb2="00000000" w:usb3="00000000" w:csb0="80000000" w:csb1="00000000"/>
  </w:font>
  <w:font w:name="微软雅黑">
    <w:panose1 w:val="020B0503020204020204"/>
    <w:charset w:val="86"/>
    <w:family w:val="auto"/>
    <w:pitch w:val="default"/>
    <w:sig w:usb0="80000287" w:usb1="2A0F3C52" w:usb2="00000016" w:usb3="00000000" w:csb0="0004001F" w:csb1="00000000"/>
  </w:font>
  <w:font w:name="Cambria">
    <w:panose1 w:val="02040503050406030204"/>
    <w:charset w:val="00"/>
    <w:family w:val="auto"/>
    <w:pitch w:val="default"/>
    <w:sig w:usb0="A00002EF" w:usb1="4000004B" w:usb2="00000000" w:usb3="00000000" w:csb0="2000009F" w:csb1="00000000"/>
  </w:font>
  <w:font w:name="Calibri">
    <w:panose1 w:val="020F0502020204030204"/>
    <w:charset w:val="00"/>
    <w:family w:val="auto"/>
    <w:pitch w:val="default"/>
    <w:sig w:usb0="A00002EF" w:usb1="4000207B" w:usb2="00000000" w:usb3="00000000" w:csb0="2000009F" w:csb1="00000000"/>
  </w:font>
  <w:font w:name="仿宋">
    <w:altName w:val="仿宋_GB2312"/>
    <w:panose1 w:val="02010609060101010101"/>
    <w:charset w:val="86"/>
    <w:family w:val="auto"/>
    <w:pitch w:val="default"/>
    <w:sig w:usb0="00000000" w:usb1="00000000" w:usb2="00000016" w:usb3="00000000" w:csb0="00040001" w:csb1="00000000"/>
  </w:font>
  <w:font w:name="方正小标宋简体">
    <w:altName w:val="微软雅黑"/>
    <w:panose1 w:val="02010601030101010101"/>
    <w:charset w:val="86"/>
    <w:family w:val="auto"/>
    <w:pitch w:val="default"/>
    <w:sig w:usb0="00000001" w:usb1="080E0000" w:usb2="00000000" w:usb3="00000000" w:csb0="00040000" w:csb1="00000000"/>
  </w:font>
  <w:font w:name="Arial Unicode MS">
    <w:altName w:val="宋体"/>
    <w:panose1 w:val="020B0604020202020204"/>
    <w:charset w:val="86"/>
    <w:family w:val="auto"/>
    <w:pitch w:val="default"/>
    <w:sig w:usb0="FFFFFFFF" w:usb1="E9FFFFFF" w:usb2="0000003F" w:usb3="00000000" w:csb0="603F01FF" w:csb1="FFFF0000"/>
  </w:font>
  <w:font w:name="仿宋_GB2312">
    <w:panose1 w:val="02010609030101010101"/>
    <w:charset w:val="86"/>
    <w:family w:val="auto"/>
    <w:pitch w:val="default"/>
    <w:sig w:usb0="00000001" w:usb1="080E0000" w:usb2="00000000" w:usb3="00000000" w:csb0="00040000" w:csb1="00000000"/>
  </w:font>
  <w:font w:name="_5b8b_4f53">
    <w:altName w:val="Times New Roman"/>
    <w:panose1 w:val="00000000000000000000"/>
    <w:charset w:val="00"/>
    <w:family w:val="roman"/>
    <w:pitch w:val="default"/>
    <w:sig w:usb0="00000000" w:usb1="00000000" w:usb2="00000000" w:usb3="00000000" w:csb0="00040001" w:csb1="00000000"/>
  </w:font>
  <w:font w:name="Verdana">
    <w:panose1 w:val="020B0604030504040204"/>
    <w:charset w:val="00"/>
    <w:family w:val="swiss"/>
    <w:pitch w:val="default"/>
    <w:sig w:usb0="00000287" w:usb1="00000000" w:usb2="00000000" w:usb3="00000000" w:csb0="2000019F" w:csb1="00000000"/>
  </w:font>
  <w:font w:name="楷体_GB2312">
    <w:panose1 w:val="02010609030101010101"/>
    <w:charset w:val="86"/>
    <w:family w:val="modern"/>
    <w:pitch w:val="default"/>
    <w:sig w:usb0="00000001" w:usb1="080E0000" w:usb2="00000000" w:usb3="00000000" w:csb0="00040000" w:csb1="00000000"/>
  </w:font>
  <w:font w:name="楷体">
    <w:altName w:val="楷体_GB2312"/>
    <w:panose1 w:val="02010609060101010101"/>
    <w:charset w:val="86"/>
    <w:family w:val="modern"/>
    <w:pitch w:val="default"/>
    <w:sig w:usb0="800002BF" w:usb1="38CF7CFA" w:usb2="00000016" w:usb3="00000000" w:csb0="00040001" w:csb1="00000000"/>
  </w:font>
  <w:font w:name="Cambria Math">
    <w:panose1 w:val="02040503050406030204"/>
    <w:charset w:val="00"/>
    <w:family w:val="roman"/>
    <w:pitch w:val="default"/>
    <w:sig w:usb0="A00002EF" w:usb1="420020EB" w:usb2="00000000" w:usb3="00000000" w:csb0="2000009F" w:csb1="00000000"/>
  </w:font>
  <w:font w:name="Palatino Linotype">
    <w:panose1 w:val="02040502050505030304"/>
    <w:charset w:val="00"/>
    <w:family w:val="auto"/>
    <w:pitch w:val="default"/>
    <w:sig w:usb0="E0000387" w:usb1="40000013" w:usb2="00000000" w:usb3="00000000" w:csb0="2000019F" w:csb1="00000000"/>
  </w:font>
  <w:font w:name="Century Gothic">
    <w:altName w:val="Trebuchet MS"/>
    <w:panose1 w:val="020B0502020202020204"/>
    <w:charset w:val="00"/>
    <w:family w:val="auto"/>
    <w:pitch w:val="default"/>
    <w:sig w:usb0="00000287" w:usb1="00000000" w:usb2="00000000" w:usb3="00000000" w:csb0="2000009F" w:csb1="DFD70000"/>
  </w:font>
  <w:font w:name="΢���ź�">
    <w:altName w:val="Courier New"/>
    <w:panose1 w:val="00000000000000000000"/>
    <w:charset w:val="00"/>
    <w:family w:val="auto"/>
    <w:pitch w:val="default"/>
    <w:sig w:usb0="00000000" w:usb1="00000000" w:usb2="00000000" w:usb3="00000000" w:csb0="00040001" w:csb1="00000000"/>
  </w:font>
  <w:font w:name="Trebuchet MS">
    <w:panose1 w:val="020B0603020202020204"/>
    <w:charset w:val="00"/>
    <w:family w:val="auto"/>
    <w:pitch w:val="default"/>
    <w:sig w:usb0="00000287" w:usb1="00000000" w:usb2="00000000" w:usb3="00000000" w:csb0="2000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2">
    <w:nsid w:val="00000002"/>
    <w:multiLevelType w:val="singleLevel"/>
    <w:tmpl w:val="00000002"/>
    <w:lvl w:ilvl="0" w:tentative="1">
      <w:start w:val="2"/>
      <w:numFmt w:val="chineseCounting"/>
      <w:suff w:val="nothing"/>
      <w:lvlText w:val="（%1）"/>
      <w:lvlJc w:val="left"/>
    </w:lvl>
  </w:abstractNum>
  <w:abstractNum w:abstractNumId="11">
    <w:nsid w:val="0000000B"/>
    <w:multiLevelType w:val="singleLevel"/>
    <w:tmpl w:val="0000000B"/>
    <w:lvl w:ilvl="0" w:tentative="1">
      <w:start w:val="1"/>
      <w:numFmt w:val="chineseCounting"/>
      <w:suff w:val="nothing"/>
      <w:lvlText w:val="%1、"/>
      <w:lvlJc w:val="left"/>
    </w:lvl>
  </w:abstractNum>
  <w:num w:numId="1">
    <w:abstractNumId w:val="1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style w:type="paragraph" w:default="1" w:styleId="1">
    <w:name w:val="Normal"/>
    <w:pPr>
      <w:widowControl w:val="0"/>
      <w:jc w:val="both"/>
    </w:pPr>
    <w:rPr>
      <w:rFonts w:ascii="Calibri" w:hAnsi="Calibri" w:eastAsia="宋体" w:cs="黑体"/>
      <w:kern w:val="2"/>
      <w:sz w:val="21"/>
      <w:szCs w:val="24"/>
      <w:lang w:val="en-US" w:eastAsia="zh-CN" w:bidi="ar-SA"/>
    </w:rPr>
  </w:style>
  <w:style w:type="character" w:default="1" w:styleId="2">
    <w:name w:val="Default Paragraph Font"/>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customXml" Target="../customXml/item1.xml"/><Relationship Id="rId6" Type="http://schemas.openxmlformats.org/officeDocument/2006/relationships/numbering" Target="numbering.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 专业版_9.1.0.4167</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2014-10-29T20:08:00Z</dcterms:created>
  <dc:creator>Administrator</dc:creator>
  <dcterms:modified xsi:type="dcterms:W3CDTF">2017-11-10T14:23:23Z</dcterms:modified>
  <dc:title>Administrator</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ies>
</file>