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050000" w:fill="FFFFFF"/>
        <w:spacing w:before="0" w:beforeAutospacing="0" w:after="0" w:afterAutospacing="0"/>
        <w:ind w:left="0" w:right="0" w:firstLine="0"/>
        <w:jc w:val="both"/>
        <w:rPr>
          <w:rFonts w:hint="eastAsia" w:ascii="宋体" w:hAnsi="宋体" w:eastAsia="宋体" w:cs="宋体"/>
          <w:b w:val="0"/>
          <w:i w:val="0"/>
          <w:caps w:val="0"/>
          <w:color w:val="666666"/>
          <w:spacing w:val="0"/>
          <w:sz w:val="9"/>
          <w:szCs w:val="9"/>
        </w:rPr>
      </w:pPr>
    </w:p>
    <w:p>
      <w:pPr>
        <w:widowControl/>
        <w:pBdr>
          <w:top w:val="dashed" w:color="996633" w:sz="2" w:space="3"/>
          <w:left w:val="none" w:color="auto" w:sz="0" w:space="0"/>
          <w:bottom w:val="none" w:color="auto" w:sz="0" w:space="0"/>
          <w:right w:val="none" w:color="auto" w:sz="0" w:space="0"/>
        </w:pBdr>
        <w:shd w:val="clear" w:color="050000" w:fill="FFFFFF"/>
        <w:spacing w:before="113" w:beforeAutospacing="0" w:after="113" w:afterAutospacing="0" w:line="13" w:lineRule="atLeast"/>
        <w:ind w:left="0" w:right="0" w:firstLine="0"/>
        <w:jc w:val="left"/>
        <w:rPr>
          <w:rFonts w:hint="eastAsia" w:ascii="宋体" w:hAnsi="宋体" w:eastAsia="宋体" w:cs="宋体"/>
          <w:b w:val="0"/>
          <w:i w:val="0"/>
          <w:caps w:val="0"/>
          <w:color w:val="666666"/>
          <w:spacing w:val="0"/>
          <w:sz w:val="9"/>
          <w:szCs w:val="9"/>
        </w:rPr>
      </w:pPr>
      <w:r>
        <w:rPr>
          <w:rFonts w:hint="eastAsia" w:ascii="宋体" w:hAnsi="宋体" w:eastAsia="宋体" w:cs="宋体"/>
          <w:b w:val="0"/>
          <w:i w:val="0"/>
          <w:caps w:val="0"/>
          <w:color w:val="666666"/>
          <w:spacing w:val="0"/>
          <w:kern w:val="0"/>
          <w:sz w:val="9"/>
          <w:szCs w:val="9"/>
          <w:shd w:val="clear" w:color="090000" w:fill="FFFFFF"/>
          <w:lang w:val="en-US" w:eastAsia="zh-CN"/>
        </w:rPr>
        <w:t>　　　</w:t>
      </w:r>
    </w:p>
    <w:p>
      <w:pPr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135" w:lineRule="atLeast"/>
        <w:ind w:left="0" w:right="0"/>
        <w:jc w:val="center"/>
      </w:pPr>
      <w:r>
        <w:rPr>
          <w:rStyle w:val="5"/>
          <w:rFonts w:hint="default" w:ascii="方正小标宋简体" w:hAnsi="方正小标宋简体" w:eastAsia="方正小标宋简体" w:cs="方正小标宋简体"/>
          <w:b w:val="0"/>
          <w:i w:val="0"/>
          <w:caps w:val="0"/>
          <w:color w:val="666666"/>
          <w:spacing w:val="0"/>
          <w:kern w:val="0"/>
          <w:sz w:val="44"/>
          <w:szCs w:val="44"/>
          <w:shd w:val="clear" w:color="0A0000" w:fill="FFFFFF"/>
          <w:lang w:val="en-US" w:eastAsia="zh-CN"/>
        </w:rPr>
        <w:t>2017年度</w:t>
      </w:r>
      <w:r>
        <w:rPr>
          <w:rStyle w:val="5"/>
          <w:rFonts w:hint="eastAsia" w:ascii="方正小标宋简体" w:hAnsi="方正小标宋简体" w:eastAsia="方正小标宋简体" w:cs="方正小标宋简体"/>
          <w:b w:val="0"/>
          <w:i w:val="0"/>
          <w:caps w:val="0"/>
          <w:color w:val="666666"/>
          <w:spacing w:val="0"/>
          <w:kern w:val="0"/>
          <w:sz w:val="44"/>
          <w:szCs w:val="44"/>
          <w:shd w:val="clear" w:color="0A0000" w:fill="FFFFFF"/>
          <w:lang w:val="en-US" w:eastAsia="zh-CN"/>
        </w:rPr>
        <w:t>淮阳县</w:t>
      </w:r>
      <w:r>
        <w:rPr>
          <w:rStyle w:val="5"/>
          <w:rFonts w:hint="default" w:ascii="方正小标宋简体" w:hAnsi="方正小标宋简体" w:eastAsia="方正小标宋简体" w:cs="方正小标宋简体"/>
          <w:b w:val="0"/>
          <w:i w:val="0"/>
          <w:caps w:val="0"/>
          <w:color w:val="666666"/>
          <w:spacing w:val="0"/>
          <w:kern w:val="0"/>
          <w:sz w:val="44"/>
          <w:szCs w:val="44"/>
          <w:shd w:val="clear" w:color="0A0000" w:fill="FFFFFF"/>
          <w:lang w:val="en-US" w:eastAsia="zh-CN"/>
        </w:rPr>
        <w:t>政法委预算公开</w:t>
      </w:r>
    </w:p>
    <w:p>
      <w:pPr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135" w:lineRule="atLeast"/>
        <w:ind w:left="-142" w:right="52" w:firstLine="28"/>
        <w:jc w:val="center"/>
      </w:pPr>
      <w:r>
        <w:rPr>
          <w:rFonts w:ascii="黑体" w:hAnsi="宋体" w:eastAsia="黑体" w:cs="黑体"/>
          <w:b w:val="0"/>
          <w:i w:val="0"/>
          <w:caps w:val="0"/>
          <w:color w:val="666666"/>
          <w:spacing w:val="0"/>
          <w:kern w:val="0"/>
          <w:sz w:val="40"/>
          <w:szCs w:val="40"/>
          <w:shd w:val="clear" w:color="090000" w:fill="FFFFFF"/>
          <w:lang w:val="en-US" w:eastAsia="zh-CN"/>
        </w:rPr>
        <w:t>目</w:t>
      </w:r>
      <w:r>
        <w:rPr>
          <w:rFonts w:hint="eastAsia" w:ascii="黑体" w:hAnsi="宋体" w:eastAsia="黑体" w:cs="黑体"/>
          <w:b w:val="0"/>
          <w:i w:val="0"/>
          <w:caps w:val="0"/>
          <w:color w:val="666666"/>
          <w:spacing w:val="2"/>
          <w:kern w:val="0"/>
          <w:sz w:val="40"/>
          <w:szCs w:val="40"/>
          <w:shd w:val="clear" w:color="090000" w:fill="FFFFFF"/>
          <w:lang w:val="en-US" w:eastAsia="zh-CN"/>
        </w:rPr>
        <w:t> </w:t>
      </w:r>
      <w:r>
        <w:rPr>
          <w:rFonts w:hint="eastAsia" w:ascii="黑体" w:hAnsi="宋体" w:eastAsia="黑体" w:cs="黑体"/>
          <w:b w:val="0"/>
          <w:i w:val="0"/>
          <w:caps w:val="0"/>
          <w:color w:val="666666"/>
          <w:spacing w:val="0"/>
          <w:kern w:val="0"/>
          <w:sz w:val="40"/>
          <w:szCs w:val="40"/>
          <w:shd w:val="clear" w:color="090000" w:fill="FFFFFF"/>
          <w:lang w:val="en-US" w:eastAsia="zh-CN"/>
        </w:rPr>
        <w:t>录</w:t>
      </w:r>
    </w:p>
    <w:p>
      <w:pPr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135" w:lineRule="atLeast"/>
        <w:ind w:right="3570" w:firstLine="640" w:firstLineChars="200"/>
        <w:jc w:val="left"/>
      </w:pPr>
      <w:r>
        <w:rPr>
          <w:rFonts w:hint="eastAsia" w:ascii="黑体" w:hAnsi="宋体" w:eastAsia="黑体" w:cs="黑体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color="090000" w:fill="FFFFFF"/>
          <w:lang w:val="en-US" w:eastAsia="zh-CN"/>
        </w:rPr>
        <w:t>第一部分 淮阳县政法委概况</w:t>
      </w:r>
    </w:p>
    <w:p>
      <w:pPr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135" w:lineRule="atLeast"/>
        <w:ind w:left="0" w:right="3570" w:firstLine="960"/>
        <w:jc w:val="left"/>
      </w:pPr>
      <w:r>
        <w:rPr>
          <w:rFonts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color="090000" w:fill="FFFFFF"/>
          <w:lang w:val="en-US" w:eastAsia="zh-CN"/>
        </w:rPr>
        <w:t>一、主要职能</w:t>
      </w:r>
    </w:p>
    <w:p>
      <w:pPr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135" w:lineRule="atLeast"/>
        <w:ind w:left="0" w:right="3570" w:firstLine="960"/>
        <w:jc w:val="left"/>
      </w:pPr>
      <w:r>
        <w:rPr>
          <w:rFonts w:hint="default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color="090000" w:fill="FFFFFF"/>
          <w:lang w:val="en-US" w:eastAsia="zh-CN"/>
        </w:rPr>
        <w:t>二、部门预算单位构成</w:t>
      </w:r>
    </w:p>
    <w:p>
      <w:pPr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135" w:lineRule="atLeast"/>
        <w:ind w:left="0" w:right="522" w:firstLine="640"/>
        <w:jc w:val="left"/>
      </w:pPr>
      <w:r>
        <w:rPr>
          <w:rFonts w:hint="eastAsia" w:ascii="黑体" w:hAnsi="宋体" w:eastAsia="黑体" w:cs="黑体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color="090000" w:fill="FFFFFF"/>
          <w:lang w:val="en-US" w:eastAsia="zh-CN"/>
        </w:rPr>
        <w:t>第二部分</w:t>
      </w:r>
      <w:r>
        <w:rPr>
          <w:rFonts w:hint="eastAsia" w:ascii="黑体" w:hAnsi="宋体" w:eastAsia="黑体" w:cs="黑体"/>
          <w:b w:val="0"/>
          <w:i w:val="0"/>
          <w:caps w:val="0"/>
          <w:color w:val="666666"/>
          <w:spacing w:val="-38"/>
          <w:kern w:val="0"/>
          <w:sz w:val="32"/>
          <w:szCs w:val="32"/>
          <w:shd w:val="clear" w:color="090000" w:fill="FFFFFF"/>
          <w:lang w:val="en-US" w:eastAsia="zh-CN"/>
        </w:rPr>
        <w:t> </w:t>
      </w:r>
      <w:r>
        <w:rPr>
          <w:rFonts w:hint="eastAsia" w:ascii="黑体" w:hAnsi="宋体" w:eastAsia="黑体" w:cs="黑体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color="090000" w:fill="FFFFFF"/>
          <w:lang w:val="en-US" w:eastAsia="zh-CN"/>
        </w:rPr>
        <w:t>淮阳县政法委</w:t>
      </w:r>
      <w:r>
        <w:rPr>
          <w:rFonts w:hint="eastAsia" w:ascii="黑体" w:hAnsi="宋体" w:eastAsia="黑体" w:cs="黑体"/>
          <w:b w:val="0"/>
          <w:i w:val="0"/>
          <w:caps w:val="0"/>
          <w:color w:val="666666"/>
          <w:spacing w:val="-119"/>
          <w:kern w:val="0"/>
          <w:sz w:val="32"/>
          <w:szCs w:val="32"/>
          <w:shd w:val="clear" w:color="090000" w:fill="FFFFFF"/>
          <w:lang w:val="en-US" w:eastAsia="zh-CN"/>
        </w:rPr>
        <w:t> </w:t>
      </w:r>
      <w:r>
        <w:rPr>
          <w:rFonts w:hint="eastAsia" w:ascii="黑体" w:hAnsi="宋体" w:eastAsia="黑体" w:cs="黑体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color="090000" w:fill="FFFFFF"/>
          <w:lang w:val="en-US" w:eastAsia="zh-CN"/>
        </w:rPr>
        <w:t>2017</w:t>
      </w:r>
      <w:r>
        <w:rPr>
          <w:rFonts w:hint="eastAsia" w:ascii="黑体" w:hAnsi="宋体" w:eastAsia="黑体" w:cs="黑体"/>
          <w:b w:val="0"/>
          <w:i w:val="0"/>
          <w:caps w:val="0"/>
          <w:color w:val="666666"/>
          <w:spacing w:val="-119"/>
          <w:kern w:val="0"/>
          <w:sz w:val="32"/>
          <w:szCs w:val="32"/>
          <w:shd w:val="clear" w:color="090000" w:fill="FFFFFF"/>
          <w:lang w:val="en-US" w:eastAsia="zh-CN"/>
        </w:rPr>
        <w:t> </w:t>
      </w:r>
      <w:r>
        <w:rPr>
          <w:rFonts w:hint="eastAsia" w:ascii="黑体" w:hAnsi="宋体" w:eastAsia="黑体" w:cs="黑体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color="090000" w:fill="FFFFFF"/>
          <w:lang w:val="en-US" w:eastAsia="zh-CN"/>
        </w:rPr>
        <w:t>年度部门预算情况说明</w:t>
      </w:r>
    </w:p>
    <w:p>
      <w:pPr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135" w:lineRule="atLeast"/>
        <w:ind w:left="0" w:right="522" w:firstLine="640"/>
        <w:jc w:val="left"/>
        <w:rPr>
          <w:rFonts w:hint="eastAsia" w:ascii="黑体" w:hAnsi="宋体" w:eastAsia="黑体" w:cs="黑体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color="090000" w:fill="FFFFFF"/>
          <w:lang w:val="en-US" w:eastAsia="zh-CN"/>
        </w:rPr>
      </w:pPr>
      <w:r>
        <w:rPr>
          <w:rFonts w:hint="eastAsia" w:ascii="黑体" w:hAnsi="宋体" w:eastAsia="黑体" w:cs="黑体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color="090000" w:fill="FFFFFF"/>
          <w:lang w:val="en-US" w:eastAsia="zh-CN"/>
        </w:rPr>
        <w:t>第三部分</w:t>
      </w:r>
      <w:r>
        <w:rPr>
          <w:rFonts w:hint="eastAsia" w:ascii="黑体" w:hAnsi="宋体" w:eastAsia="黑体" w:cs="黑体"/>
          <w:b w:val="0"/>
          <w:i w:val="0"/>
          <w:caps w:val="0"/>
          <w:color w:val="666666"/>
          <w:spacing w:val="-32"/>
          <w:kern w:val="0"/>
          <w:sz w:val="32"/>
          <w:szCs w:val="32"/>
          <w:shd w:val="clear" w:color="090000" w:fill="FFFFFF"/>
          <w:lang w:val="en-US" w:eastAsia="zh-CN"/>
        </w:rPr>
        <w:t> </w:t>
      </w:r>
      <w:r>
        <w:rPr>
          <w:rFonts w:hint="eastAsia" w:ascii="黑体" w:hAnsi="宋体" w:eastAsia="黑体" w:cs="黑体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color="090000" w:fill="FFFFFF"/>
          <w:lang w:val="en-US" w:eastAsia="zh-CN"/>
        </w:rPr>
        <w:t>名词解释</w:t>
      </w:r>
    </w:p>
    <w:p>
      <w:pPr>
        <w:rPr>
          <w:rFonts w:hint="eastAsia" w:ascii="宋体" w:hAnsi="宋体" w:eastAsia="宋体" w:cs="宋体"/>
          <w:color w:val="auto"/>
          <w:sz w:val="32"/>
          <w:szCs w:val="32"/>
          <w:highlight w:val="none"/>
        </w:rPr>
      </w:pPr>
      <w:r>
        <w:rPr>
          <w:rFonts w:hint="eastAsia" w:ascii="宋体" w:hAnsi="宋体" w:eastAsia="宋体" w:cs="宋体"/>
          <w:color w:val="auto"/>
          <w:sz w:val="32"/>
          <w:szCs w:val="32"/>
          <w:highlight w:val="none"/>
        </w:rPr>
        <w:t>附：1、部门收支总体情况表</w:t>
      </w:r>
    </w:p>
    <w:p>
      <w:pPr>
        <w:ind w:firstLine="640" w:firstLineChars="200"/>
        <w:rPr>
          <w:rFonts w:hint="eastAsia" w:ascii="宋体" w:hAnsi="宋体" w:eastAsia="宋体" w:cs="宋体"/>
          <w:color w:val="auto"/>
          <w:sz w:val="32"/>
          <w:szCs w:val="32"/>
          <w:highlight w:val="none"/>
        </w:rPr>
      </w:pPr>
      <w:r>
        <w:rPr>
          <w:rFonts w:hint="eastAsia" w:ascii="宋体" w:hAnsi="宋体" w:eastAsia="宋体" w:cs="宋体"/>
          <w:color w:val="auto"/>
          <w:sz w:val="32"/>
          <w:szCs w:val="32"/>
          <w:highlight w:val="none"/>
        </w:rPr>
        <w:t>2、部门收入总体情况表</w:t>
      </w:r>
    </w:p>
    <w:p>
      <w:pPr>
        <w:ind w:firstLine="640" w:firstLineChars="200"/>
        <w:rPr>
          <w:rFonts w:hint="eastAsia" w:ascii="宋体" w:hAnsi="宋体" w:eastAsia="宋体" w:cs="宋体"/>
          <w:color w:val="auto"/>
          <w:sz w:val="32"/>
          <w:szCs w:val="32"/>
          <w:highlight w:val="none"/>
        </w:rPr>
      </w:pPr>
      <w:r>
        <w:rPr>
          <w:rFonts w:hint="eastAsia" w:ascii="宋体" w:hAnsi="宋体" w:eastAsia="宋体" w:cs="宋体"/>
          <w:color w:val="auto"/>
          <w:sz w:val="32"/>
          <w:szCs w:val="32"/>
          <w:highlight w:val="none"/>
        </w:rPr>
        <w:t>3、部门支出总体情况表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21"/>
        <w:rPr>
          <w:rFonts w:hint="eastAsia" w:ascii="宋体" w:hAnsi="宋体" w:eastAsia="宋体" w:cs="宋体"/>
          <w:color w:val="auto"/>
          <w:sz w:val="32"/>
          <w:szCs w:val="32"/>
          <w:highlight w:val="none"/>
        </w:rPr>
      </w:pPr>
      <w:r>
        <w:rPr>
          <w:rFonts w:hint="eastAsia" w:ascii="宋体" w:hAnsi="宋体" w:eastAsia="宋体" w:cs="宋体"/>
          <w:color w:val="auto"/>
          <w:sz w:val="32"/>
          <w:szCs w:val="32"/>
          <w:highlight w:val="none"/>
          <w:lang w:val="en-US" w:eastAsia="zh-CN"/>
        </w:rPr>
        <w:t xml:space="preserve">    </w:t>
      </w:r>
      <w:r>
        <w:rPr>
          <w:rFonts w:hint="eastAsia" w:ascii="宋体" w:hAnsi="宋体" w:eastAsia="宋体" w:cs="宋体"/>
          <w:color w:val="auto"/>
          <w:sz w:val="32"/>
          <w:szCs w:val="32"/>
          <w:highlight w:val="none"/>
        </w:rPr>
        <w:t>4、财政拨款收支总体情况表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21"/>
        <w:rPr>
          <w:rFonts w:hint="eastAsia" w:ascii="宋体" w:hAnsi="宋体" w:eastAsia="宋体" w:cs="宋体"/>
          <w:color w:val="auto"/>
          <w:sz w:val="32"/>
          <w:szCs w:val="32"/>
          <w:highlight w:val="none"/>
        </w:rPr>
      </w:pPr>
      <w:r>
        <w:rPr>
          <w:rFonts w:hint="eastAsia" w:ascii="宋体" w:hAnsi="宋体" w:eastAsia="宋体" w:cs="宋体"/>
          <w:color w:val="auto"/>
          <w:sz w:val="32"/>
          <w:szCs w:val="32"/>
          <w:highlight w:val="none"/>
          <w:lang w:val="en-US" w:eastAsia="zh-CN"/>
        </w:rPr>
        <w:t xml:space="preserve">    </w:t>
      </w:r>
      <w:r>
        <w:rPr>
          <w:rFonts w:hint="eastAsia" w:ascii="宋体" w:hAnsi="宋体" w:eastAsia="宋体" w:cs="宋体"/>
          <w:color w:val="auto"/>
          <w:sz w:val="32"/>
          <w:szCs w:val="32"/>
          <w:highlight w:val="none"/>
        </w:rPr>
        <w:t>5、一般公共预算支出情况表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21"/>
        <w:rPr>
          <w:rFonts w:hint="eastAsia" w:ascii="宋体" w:hAnsi="宋体" w:eastAsia="宋体" w:cs="宋体"/>
          <w:color w:val="auto"/>
          <w:sz w:val="32"/>
          <w:szCs w:val="32"/>
          <w:highlight w:val="none"/>
        </w:rPr>
      </w:pPr>
      <w:r>
        <w:rPr>
          <w:rFonts w:hint="eastAsia" w:ascii="宋体" w:hAnsi="宋体" w:eastAsia="宋体" w:cs="宋体"/>
          <w:color w:val="auto"/>
          <w:sz w:val="32"/>
          <w:szCs w:val="32"/>
          <w:highlight w:val="none"/>
          <w:lang w:val="en-US" w:eastAsia="zh-CN"/>
        </w:rPr>
        <w:t xml:space="preserve">    </w:t>
      </w:r>
      <w:r>
        <w:rPr>
          <w:rFonts w:hint="eastAsia" w:ascii="宋体" w:hAnsi="宋体" w:eastAsia="宋体" w:cs="宋体"/>
          <w:color w:val="auto"/>
          <w:sz w:val="32"/>
          <w:szCs w:val="32"/>
          <w:highlight w:val="none"/>
        </w:rPr>
        <w:t>6、一般公共预算基本支出情况表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21"/>
        <w:rPr>
          <w:rFonts w:hint="eastAsia" w:ascii="宋体" w:hAnsi="宋体" w:eastAsia="宋体" w:cs="宋体"/>
          <w:color w:val="auto"/>
          <w:sz w:val="32"/>
          <w:szCs w:val="32"/>
          <w:highlight w:val="none"/>
        </w:rPr>
      </w:pPr>
      <w:r>
        <w:rPr>
          <w:rFonts w:hint="eastAsia" w:ascii="宋体" w:hAnsi="宋体" w:eastAsia="宋体" w:cs="宋体"/>
          <w:color w:val="auto"/>
          <w:sz w:val="32"/>
          <w:szCs w:val="32"/>
          <w:highlight w:val="none"/>
          <w:lang w:val="en-US" w:eastAsia="zh-CN"/>
        </w:rPr>
        <w:t xml:space="preserve">    </w:t>
      </w:r>
      <w:r>
        <w:rPr>
          <w:rFonts w:hint="eastAsia" w:ascii="宋体" w:hAnsi="宋体" w:eastAsia="宋体" w:cs="宋体"/>
          <w:color w:val="auto"/>
          <w:sz w:val="32"/>
          <w:szCs w:val="32"/>
          <w:highlight w:val="none"/>
        </w:rPr>
        <w:t>7、一般公共预算“三公”经费支出表</w:t>
      </w:r>
    </w:p>
    <w:p>
      <w:pPr>
        <w:kinsoku w:val="0"/>
        <w:overflowPunct w:val="0"/>
        <w:adjustRightInd w:val="0"/>
        <w:snapToGrid w:val="0"/>
        <w:spacing w:line="360" w:lineRule="auto"/>
        <w:ind w:right="521"/>
        <w:rPr>
          <w:rFonts w:hint="eastAsia" w:ascii="宋体" w:hAnsi="宋体" w:eastAsia="宋体" w:cs="宋体"/>
          <w:color w:val="auto"/>
          <w:sz w:val="32"/>
          <w:szCs w:val="32"/>
          <w:highlight w:val="none"/>
        </w:rPr>
      </w:pPr>
      <w:r>
        <w:rPr>
          <w:rFonts w:hint="eastAsia" w:ascii="宋体" w:hAnsi="宋体" w:eastAsia="宋体" w:cs="宋体"/>
          <w:color w:val="auto"/>
          <w:sz w:val="32"/>
          <w:szCs w:val="32"/>
          <w:highlight w:val="none"/>
          <w:lang w:val="en-US" w:eastAsia="zh-CN"/>
        </w:rPr>
        <w:t xml:space="preserve">    </w:t>
      </w:r>
      <w:r>
        <w:rPr>
          <w:rFonts w:hint="eastAsia" w:ascii="宋体" w:hAnsi="宋体" w:eastAsia="宋体" w:cs="宋体"/>
          <w:color w:val="auto"/>
          <w:sz w:val="32"/>
          <w:szCs w:val="32"/>
          <w:highlight w:val="none"/>
        </w:rPr>
        <w:t>8、政府性基金预算支出情况表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21"/>
        <w:rPr>
          <w:rFonts w:hint="eastAsia" w:ascii="宋体" w:hAnsi="宋体" w:eastAsia="宋体" w:cs="宋体"/>
          <w:color w:val="auto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32"/>
          <w:szCs w:val="32"/>
          <w:lang w:val="en-US" w:eastAsia="zh-CN"/>
        </w:rPr>
        <w:t xml:space="preserve">    9、政府性采购预算表</w:t>
      </w:r>
    </w:p>
    <w:p>
      <w:pPr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135" w:lineRule="atLeast"/>
        <w:ind w:left="0" w:right="522" w:firstLine="640"/>
        <w:jc w:val="left"/>
        <w:rPr>
          <w:rFonts w:hint="eastAsia" w:ascii="黑体" w:hAnsi="宋体" w:eastAsia="黑体" w:cs="黑体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color="090000" w:fill="FFFFFF"/>
          <w:lang w:val="en-US" w:eastAsia="zh-CN"/>
        </w:rPr>
      </w:pPr>
      <w:bookmarkStart w:id="0" w:name="_GoBack"/>
      <w:bookmarkEnd w:id="0"/>
    </w:p>
    <w:p>
      <w:pPr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135" w:lineRule="atLeast"/>
        <w:ind w:left="102" w:right="522" w:firstLine="640"/>
        <w:jc w:val="left"/>
      </w:pPr>
      <w:r>
        <w:rPr>
          <w:rFonts w:hint="eastAsia" w:ascii="黑体" w:hAnsi="宋体" w:eastAsia="黑体" w:cs="黑体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color="090000" w:fill="FFFFFF"/>
          <w:lang w:val="en-US" w:eastAsia="zh-CN"/>
        </w:rPr>
        <w:t> </w:t>
      </w:r>
    </w:p>
    <w:p>
      <w:pPr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135" w:lineRule="atLeast"/>
        <w:ind w:left="0" w:right="0"/>
        <w:jc w:val="left"/>
      </w:pPr>
      <w:r>
        <w:rPr>
          <w:rFonts w:hint="eastAsia" w:ascii="黑体" w:hAnsi="宋体" w:eastAsia="黑体" w:cs="黑体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color="090000" w:fill="FFFFFF"/>
          <w:lang w:val="en-US" w:eastAsia="zh-CN"/>
        </w:rPr>
        <w:t> </w:t>
      </w:r>
    </w:p>
    <w:p>
      <w:pPr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135" w:lineRule="atLeast"/>
        <w:ind w:left="0" w:right="0"/>
        <w:jc w:val="center"/>
      </w:pPr>
      <w:r>
        <w:rPr>
          <w:rFonts w:hint="eastAsia" w:ascii="黑体" w:hAnsi="宋体" w:eastAsia="黑体" w:cs="黑体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color="090000" w:fill="FFFFFF"/>
          <w:lang w:val="en-US" w:eastAsia="zh-CN"/>
        </w:rPr>
        <w:t>第一部分</w:t>
      </w:r>
    </w:p>
    <w:p>
      <w:pPr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135" w:lineRule="atLeast"/>
        <w:ind w:left="0" w:right="0"/>
        <w:jc w:val="center"/>
      </w:pPr>
      <w:r>
        <w:rPr>
          <w:rFonts w:hint="eastAsia" w:ascii="黑体" w:hAnsi="宋体" w:eastAsia="黑体" w:cs="黑体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color="090000" w:fill="FFFFFF"/>
          <w:lang w:val="en-US" w:eastAsia="zh-CN"/>
        </w:rPr>
        <w:t>淮阳县概况</w:t>
      </w:r>
    </w:p>
    <w:p>
      <w:pPr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135" w:lineRule="atLeast"/>
        <w:ind w:left="1360" w:right="0" w:hanging="720"/>
        <w:jc w:val="left"/>
      </w:pPr>
      <w:r>
        <w:rPr>
          <w:rFonts w:hint="eastAsia" w:ascii="黑体" w:hAnsi="宋体" w:eastAsia="黑体" w:cs="黑体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color="090000" w:fill="FFFFFF"/>
          <w:lang w:val="en-US" w:eastAsia="zh-CN"/>
        </w:rPr>
        <w:t>一、</w:t>
      </w:r>
      <w:r>
        <w:rPr>
          <w:rFonts w:hint="default" w:ascii="黑体" w:hAnsi="宋体" w:eastAsia="黑体" w:cs="黑体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color="090000" w:fill="FFFFFF"/>
          <w:lang w:val="en-US" w:eastAsia="zh-CN"/>
        </w:rPr>
        <w:t> </w:t>
      </w:r>
      <w:r>
        <w:rPr>
          <w:rFonts w:hint="eastAsia" w:ascii="黑体" w:hAnsi="宋体" w:eastAsia="黑体" w:cs="黑体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color="090000" w:fill="FFFFFF"/>
          <w:lang w:val="en-US" w:eastAsia="zh-CN"/>
        </w:rPr>
        <w:t>淮阳县政法委主要职责</w:t>
      </w:r>
    </w:p>
    <w:p>
      <w:pPr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13" w:lineRule="atLeast"/>
        <w:ind w:left="0" w:right="0" w:firstLine="560"/>
        <w:jc w:val="left"/>
      </w:pPr>
      <w:r>
        <w:rPr>
          <w:rFonts w:hint="eastAsia" w:ascii="宋体" w:hAnsi="宋体" w:eastAsia="宋体" w:cs="宋体"/>
          <w:b w:val="0"/>
          <w:i w:val="0"/>
          <w:caps w:val="0"/>
          <w:color w:val="666666"/>
          <w:spacing w:val="0"/>
          <w:kern w:val="0"/>
          <w:sz w:val="28"/>
          <w:szCs w:val="28"/>
          <w:shd w:val="clear" w:color="090000" w:fill="FFFFFF"/>
          <w:lang w:val="en-US" w:eastAsia="zh-CN"/>
        </w:rPr>
        <w:t>第一条  根据党的路线、方针、政策和县委的部署，统一政法各部门的思想和行动。组织、指导、协调全市维护社会稳定工作。对一定时期内的政法工作作出全面部署，并督促贯彻落实。</w:t>
      </w:r>
    </w:p>
    <w:p>
      <w:pPr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13" w:lineRule="atLeast"/>
        <w:ind w:left="0" w:right="0" w:firstLine="560"/>
        <w:jc w:val="left"/>
      </w:pPr>
      <w:r>
        <w:rPr>
          <w:rFonts w:hint="eastAsia" w:ascii="宋体" w:hAnsi="宋体" w:eastAsia="宋体" w:cs="宋体"/>
          <w:b w:val="0"/>
          <w:i w:val="0"/>
          <w:caps w:val="0"/>
          <w:color w:val="666666"/>
          <w:spacing w:val="0"/>
          <w:kern w:val="0"/>
          <w:sz w:val="28"/>
          <w:szCs w:val="28"/>
          <w:shd w:val="clear" w:color="090000" w:fill="FFFFFF"/>
          <w:lang w:val="en-US" w:eastAsia="zh-CN"/>
        </w:rPr>
        <w:t>第二条检查政法部门执行纪律、法规和党的路线、方针、政策的情况，研究制定严肃执法、落实党的方针、政策的具体措施。</w:t>
      </w:r>
    </w:p>
    <w:p>
      <w:pPr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13" w:lineRule="atLeast"/>
        <w:ind w:left="0" w:right="0" w:firstLine="560"/>
        <w:jc w:val="left"/>
      </w:pPr>
      <w:r>
        <w:rPr>
          <w:rFonts w:hint="eastAsia" w:ascii="宋体" w:hAnsi="宋体" w:eastAsia="宋体" w:cs="宋体"/>
          <w:b w:val="0"/>
          <w:i w:val="0"/>
          <w:caps w:val="0"/>
          <w:color w:val="666666"/>
          <w:spacing w:val="0"/>
          <w:kern w:val="0"/>
          <w:sz w:val="28"/>
          <w:szCs w:val="28"/>
          <w:shd w:val="clear" w:color="090000" w:fill="FFFFFF"/>
          <w:lang w:val="en-US" w:eastAsia="zh-CN"/>
        </w:rPr>
        <w:t>第三条 监督政法各部门依法行使职权，指导和协调政法部门之间既要相互监督制约，又要密切配合，督促推动大案要案的查处工作，协调有争议的重大、疑难案件。</w:t>
      </w:r>
    </w:p>
    <w:p>
      <w:pPr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13" w:lineRule="atLeast"/>
        <w:ind w:left="0" w:right="0" w:firstLine="560"/>
        <w:jc w:val="left"/>
      </w:pPr>
      <w:r>
        <w:rPr>
          <w:rFonts w:hint="eastAsia" w:ascii="宋体" w:hAnsi="宋体" w:eastAsia="宋体" w:cs="宋体"/>
          <w:b w:val="0"/>
          <w:i w:val="0"/>
          <w:caps w:val="0"/>
          <w:color w:val="666666"/>
          <w:spacing w:val="0"/>
          <w:kern w:val="0"/>
          <w:sz w:val="28"/>
          <w:szCs w:val="28"/>
          <w:shd w:val="clear" w:color="090000" w:fill="FFFFFF"/>
          <w:lang w:val="en-US" w:eastAsia="zh-CN"/>
        </w:rPr>
        <w:t>第四条 组织推动全县政法系统的调查研究工作，总结新经验，解决新问题，探索政法工作改革，不断加强政法工作。</w:t>
      </w:r>
    </w:p>
    <w:p>
      <w:pPr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13" w:lineRule="atLeast"/>
        <w:ind w:left="0" w:right="0" w:firstLine="560"/>
        <w:jc w:val="left"/>
      </w:pPr>
      <w:r>
        <w:rPr>
          <w:rFonts w:hint="eastAsia" w:ascii="宋体" w:hAnsi="宋体" w:eastAsia="宋体" w:cs="宋体"/>
          <w:b w:val="0"/>
          <w:i w:val="0"/>
          <w:caps w:val="0"/>
          <w:color w:val="666666"/>
          <w:spacing w:val="0"/>
          <w:kern w:val="0"/>
          <w:sz w:val="28"/>
          <w:szCs w:val="28"/>
          <w:shd w:val="clear" w:color="090000" w:fill="FFFFFF"/>
          <w:lang w:val="en-US" w:eastAsia="zh-CN"/>
        </w:rPr>
        <w:t>第五条 研究加强政法队伍和领导班子建设的具体措施，协助党委及其组织部门考察、管理政法部门的领导干部；协助有关部门查处政法系统干警违法纪案件。</w:t>
      </w:r>
    </w:p>
    <w:p>
      <w:pPr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13" w:lineRule="atLeast"/>
        <w:ind w:left="0" w:right="0" w:firstLine="560"/>
        <w:jc w:val="left"/>
      </w:pPr>
      <w:r>
        <w:rPr>
          <w:rFonts w:hint="eastAsia" w:ascii="宋体" w:hAnsi="宋体" w:eastAsia="宋体" w:cs="宋体"/>
          <w:b w:val="0"/>
          <w:i w:val="0"/>
          <w:caps w:val="0"/>
          <w:color w:val="666666"/>
          <w:spacing w:val="0"/>
          <w:kern w:val="0"/>
          <w:sz w:val="28"/>
          <w:szCs w:val="28"/>
          <w:shd w:val="clear" w:color="090000" w:fill="FFFFFF"/>
          <w:lang w:val="en-US" w:eastAsia="zh-CN"/>
        </w:rPr>
        <w:t>第六条 组织、协调全县社会治安综合治理和维护社会稳定工作，推动以综治四项制度为龙头的各项措施的落实。</w:t>
      </w:r>
    </w:p>
    <w:p>
      <w:pPr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13" w:lineRule="atLeast"/>
        <w:ind w:left="0" w:right="0" w:firstLine="560"/>
        <w:jc w:val="left"/>
      </w:pPr>
      <w:r>
        <w:rPr>
          <w:rFonts w:hint="eastAsia" w:ascii="宋体" w:hAnsi="宋体" w:eastAsia="宋体" w:cs="宋体"/>
          <w:b w:val="0"/>
          <w:i w:val="0"/>
          <w:caps w:val="0"/>
          <w:color w:val="666666"/>
          <w:spacing w:val="0"/>
          <w:kern w:val="0"/>
          <w:sz w:val="28"/>
          <w:szCs w:val="28"/>
          <w:shd w:val="clear" w:color="090000" w:fill="FFFFFF"/>
          <w:lang w:val="en-US" w:eastAsia="zh-CN"/>
        </w:rPr>
        <w:t>第七条 负责全县综合治理宣传工作和综治人员的教育培训。</w:t>
      </w:r>
    </w:p>
    <w:p>
      <w:pPr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13" w:lineRule="atLeast"/>
        <w:ind w:left="0" w:right="0" w:firstLine="560"/>
        <w:jc w:val="left"/>
      </w:pPr>
      <w:r>
        <w:rPr>
          <w:rFonts w:hint="eastAsia" w:ascii="宋体" w:hAnsi="宋体" w:eastAsia="宋体" w:cs="宋体"/>
          <w:b w:val="0"/>
          <w:i w:val="0"/>
          <w:caps w:val="0"/>
          <w:color w:val="666666"/>
          <w:spacing w:val="0"/>
          <w:kern w:val="0"/>
          <w:sz w:val="28"/>
          <w:szCs w:val="28"/>
          <w:shd w:val="clear" w:color="090000" w:fill="FFFFFF"/>
          <w:lang w:val="en-US" w:eastAsia="zh-CN"/>
        </w:rPr>
        <w:t>第八条 指导各乡镇政法（综合治理）工作</w:t>
      </w:r>
    </w:p>
    <w:p>
      <w:pPr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13" w:lineRule="atLeast"/>
        <w:ind w:left="0" w:right="0" w:firstLine="560"/>
        <w:jc w:val="left"/>
      </w:pPr>
      <w:r>
        <w:rPr>
          <w:rFonts w:hint="eastAsia" w:ascii="宋体" w:hAnsi="宋体" w:eastAsia="宋体" w:cs="宋体"/>
          <w:b w:val="0"/>
          <w:i w:val="0"/>
          <w:caps w:val="0"/>
          <w:color w:val="666666"/>
          <w:spacing w:val="0"/>
          <w:kern w:val="0"/>
          <w:sz w:val="28"/>
          <w:szCs w:val="28"/>
          <w:shd w:val="clear" w:color="090000" w:fill="FFFFFF"/>
          <w:lang w:val="en-US" w:eastAsia="zh-CN"/>
        </w:rPr>
        <w:t>第九条 完成上级政法委（综治委、办）和县委、县政府交办的其它事项。</w:t>
      </w:r>
    </w:p>
    <w:p>
      <w:pPr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135" w:lineRule="atLeast"/>
        <w:ind w:left="0" w:right="0" w:firstLine="640"/>
        <w:jc w:val="left"/>
      </w:pPr>
      <w:r>
        <w:rPr>
          <w:rFonts w:hint="eastAsia" w:ascii="黑体" w:hAnsi="宋体" w:eastAsia="黑体" w:cs="黑体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color="090000" w:fill="FFFFFF"/>
          <w:lang w:val="en-US" w:eastAsia="zh-CN"/>
        </w:rPr>
        <w:t>二、淮阳县政法委预算单位构成</w:t>
      </w:r>
    </w:p>
    <w:p>
      <w:pPr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135" w:lineRule="atLeast"/>
        <w:ind w:left="0" w:right="0" w:firstLine="560"/>
        <w:jc w:val="left"/>
      </w:pPr>
      <w:r>
        <w:rPr>
          <w:rFonts w:hint="eastAsia" w:ascii="宋体" w:hAnsi="宋体" w:eastAsia="宋体" w:cs="宋体"/>
          <w:b w:val="0"/>
          <w:i w:val="0"/>
          <w:caps w:val="0"/>
          <w:color w:val="666666"/>
          <w:spacing w:val="0"/>
          <w:kern w:val="0"/>
          <w:sz w:val="28"/>
          <w:szCs w:val="28"/>
          <w:shd w:val="clear" w:color="090000" w:fill="FFFFFF"/>
          <w:lang w:val="en-US" w:eastAsia="zh-CN"/>
        </w:rPr>
        <w:t>淮阳县委政法委预算包括淮阳县委政法委本级预算。</w:t>
      </w:r>
    </w:p>
    <w:p>
      <w:pPr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135" w:lineRule="atLeast"/>
        <w:ind w:left="0" w:right="0"/>
        <w:jc w:val="center"/>
      </w:pPr>
      <w:r>
        <w:rPr>
          <w:rFonts w:hint="eastAsia" w:ascii="黑体" w:hAnsi="宋体" w:eastAsia="黑体" w:cs="黑体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color="090000" w:fill="FFFFFF"/>
          <w:lang w:val="en-US" w:eastAsia="zh-CN"/>
        </w:rPr>
        <w:t>第二部分</w:t>
      </w:r>
    </w:p>
    <w:p>
      <w:pPr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135" w:lineRule="atLeast"/>
        <w:ind w:left="0" w:right="0"/>
        <w:jc w:val="center"/>
      </w:pPr>
      <w:r>
        <w:rPr>
          <w:rFonts w:hint="eastAsia" w:ascii="黑体" w:hAnsi="宋体" w:eastAsia="黑体" w:cs="黑体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color="090000" w:fill="FFFFFF"/>
          <w:lang w:val="en-US" w:eastAsia="zh-CN"/>
        </w:rPr>
        <w:t>淮阳县政法委2017年度部门预算情况说明</w:t>
      </w:r>
    </w:p>
    <w:p>
      <w:pPr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135" w:lineRule="atLeast"/>
        <w:ind w:left="0" w:right="0" w:firstLine="640"/>
        <w:jc w:val="left"/>
      </w:pPr>
      <w:r>
        <w:rPr>
          <w:rFonts w:hint="eastAsia" w:ascii="黑体" w:hAnsi="宋体" w:eastAsia="黑体" w:cs="黑体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color="090000" w:fill="FFFFFF"/>
          <w:lang w:val="en-US" w:eastAsia="zh-CN"/>
        </w:rPr>
        <w:t>一、收入支出预算总体情况说明</w:t>
      </w:r>
    </w:p>
    <w:p>
      <w:pPr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135" w:lineRule="atLeast"/>
        <w:ind w:left="0" w:right="0" w:firstLine="640"/>
        <w:jc w:val="left"/>
      </w:pPr>
      <w:r>
        <w:rPr>
          <w:rFonts w:hint="eastAsia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color="090000" w:fill="FFFFFF"/>
          <w:lang w:val="en-US" w:eastAsia="zh-CN"/>
        </w:rPr>
        <w:t>淮阳县</w:t>
      </w:r>
      <w:r>
        <w:rPr>
          <w:rFonts w:hint="default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color="090000" w:fill="FFFFFF"/>
          <w:lang w:val="en-US" w:eastAsia="zh-CN"/>
        </w:rPr>
        <w:t>政法委2017年收入总计</w:t>
      </w:r>
      <w:r>
        <w:rPr>
          <w:rFonts w:hint="eastAsia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color="090000" w:fill="FFFFFF"/>
          <w:lang w:val="en-US" w:eastAsia="zh-CN"/>
        </w:rPr>
        <w:t>539.87</w:t>
      </w:r>
      <w:r>
        <w:rPr>
          <w:rFonts w:hint="default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color="090000" w:fill="FFFFFF"/>
          <w:lang w:val="en-US" w:eastAsia="zh-CN"/>
        </w:rPr>
        <w:t>万元，支出总计</w:t>
      </w:r>
      <w:r>
        <w:rPr>
          <w:rFonts w:hint="eastAsia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color="090000" w:fill="FFFFFF"/>
          <w:lang w:val="en-US" w:eastAsia="zh-CN"/>
        </w:rPr>
        <w:t>539.87</w:t>
      </w:r>
      <w:r>
        <w:rPr>
          <w:rFonts w:hint="default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color="090000" w:fill="FFFFFF"/>
          <w:lang w:val="en-US" w:eastAsia="zh-CN"/>
        </w:rPr>
        <w:t>万元，与2016年相比，收、支总计各</w:t>
      </w:r>
      <w:r>
        <w:rPr>
          <w:rFonts w:hint="eastAsia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color="090000" w:fill="FFFFFF"/>
          <w:lang w:val="en-US" w:eastAsia="zh-CN"/>
        </w:rPr>
        <w:t>减少200.06</w:t>
      </w:r>
      <w:r>
        <w:rPr>
          <w:rFonts w:hint="default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color="090000" w:fill="FFFFFF"/>
          <w:lang w:val="en-US" w:eastAsia="zh-CN"/>
        </w:rPr>
        <w:t>万元。主要原因</w:t>
      </w:r>
      <w:r>
        <w:rPr>
          <w:rFonts w:hint="eastAsia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color="090000" w:fill="FFFFFF"/>
          <w:lang w:val="en-US" w:eastAsia="zh-CN"/>
        </w:rPr>
        <w:t>是巡防队员的工资预算到县公安局及取消了平安建设奖金</w:t>
      </w:r>
      <w:r>
        <w:rPr>
          <w:rFonts w:hint="default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color="090000" w:fill="FFFFFF"/>
          <w:lang w:val="en-US" w:eastAsia="zh-CN"/>
        </w:rPr>
        <w:t>。</w:t>
      </w:r>
    </w:p>
    <w:p>
      <w:pPr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60" w:lineRule="atLeast"/>
        <w:ind w:left="0" w:right="0" w:firstLine="640"/>
        <w:jc w:val="left"/>
      </w:pPr>
      <w:r>
        <w:rPr>
          <w:rFonts w:hint="eastAsia" w:ascii="黑体" w:hAnsi="宋体" w:eastAsia="黑体" w:cs="黑体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color="090000" w:fill="FFFFFF"/>
          <w:lang w:val="en-US" w:eastAsia="zh-CN"/>
        </w:rPr>
        <w:t>二、收入预算总体情况说明</w:t>
      </w:r>
    </w:p>
    <w:p>
      <w:pPr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60" w:lineRule="atLeast"/>
        <w:ind w:left="0" w:right="0" w:firstLine="640"/>
        <w:jc w:val="left"/>
      </w:pPr>
      <w:r>
        <w:rPr>
          <w:rFonts w:hint="eastAsia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color="090000" w:fill="FFFFFF"/>
          <w:lang w:val="en-US" w:eastAsia="zh-CN"/>
        </w:rPr>
        <w:t>淮阳县</w:t>
      </w:r>
      <w:r>
        <w:rPr>
          <w:rFonts w:hint="default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color="090000" w:fill="FFFFFF"/>
          <w:lang w:val="en-US" w:eastAsia="zh-CN"/>
        </w:rPr>
        <w:t>政法委2017年收入合计</w:t>
      </w:r>
      <w:r>
        <w:rPr>
          <w:rFonts w:hint="eastAsia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color="090000" w:fill="FFFFFF"/>
          <w:lang w:val="en-US" w:eastAsia="zh-CN"/>
        </w:rPr>
        <w:t>539.87</w:t>
      </w:r>
      <w:r>
        <w:rPr>
          <w:rFonts w:hint="default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color="090000" w:fill="FFFFFF"/>
          <w:lang w:val="en-US" w:eastAsia="zh-CN"/>
        </w:rPr>
        <w:t>万元，其中：一般公共预算</w:t>
      </w:r>
      <w:r>
        <w:rPr>
          <w:rFonts w:hint="eastAsia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color="090000" w:fill="FFFFFF"/>
          <w:lang w:val="en-US" w:eastAsia="zh-CN"/>
        </w:rPr>
        <w:t>539.87</w:t>
      </w:r>
      <w:r>
        <w:rPr>
          <w:rFonts w:hint="default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color="090000" w:fill="FFFFFF"/>
          <w:lang w:val="en-US" w:eastAsia="zh-CN"/>
        </w:rPr>
        <w:t>万元; 政府性基金收入0万元；事业收入0万元；经营收入0万元；部门财政性资金结转0万元。</w:t>
      </w:r>
    </w:p>
    <w:p>
      <w:pPr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60" w:lineRule="atLeast"/>
        <w:ind w:left="0" w:right="0" w:firstLine="640"/>
        <w:jc w:val="left"/>
      </w:pPr>
      <w:r>
        <w:rPr>
          <w:rFonts w:hint="eastAsia" w:ascii="黑体" w:hAnsi="宋体" w:eastAsia="黑体" w:cs="黑体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color="090000" w:fill="FFFFFF"/>
          <w:lang w:val="en-US" w:eastAsia="zh-CN"/>
        </w:rPr>
        <w:t>三、支出预算总体情况说明</w:t>
      </w:r>
    </w:p>
    <w:p>
      <w:pPr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60" w:lineRule="atLeast"/>
        <w:ind w:left="0" w:right="0" w:firstLine="640"/>
        <w:jc w:val="left"/>
      </w:pPr>
      <w:r>
        <w:rPr>
          <w:rFonts w:hint="eastAsia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color="090000" w:fill="FFFFFF"/>
          <w:lang w:val="en-US" w:eastAsia="zh-CN"/>
        </w:rPr>
        <w:t>淮阳县</w:t>
      </w:r>
      <w:r>
        <w:rPr>
          <w:rFonts w:hint="default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color="090000" w:fill="FFFFFF"/>
          <w:lang w:val="en-US" w:eastAsia="zh-CN"/>
        </w:rPr>
        <w:t>政法委2017年支出合计</w:t>
      </w:r>
      <w:r>
        <w:rPr>
          <w:rFonts w:hint="eastAsia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color="090000" w:fill="FFFFFF"/>
          <w:lang w:val="en-US" w:eastAsia="zh-CN"/>
        </w:rPr>
        <w:t>539.87</w:t>
      </w:r>
      <w:r>
        <w:rPr>
          <w:rFonts w:hint="default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color="090000" w:fill="FFFFFF"/>
          <w:lang w:val="en-US" w:eastAsia="zh-CN"/>
        </w:rPr>
        <w:t>万元，其中：基本支出</w:t>
      </w:r>
      <w:r>
        <w:rPr>
          <w:rFonts w:hint="eastAsia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color="090000" w:fill="FFFFFF"/>
          <w:lang w:val="en-US" w:eastAsia="zh-CN"/>
        </w:rPr>
        <w:t>539.87</w:t>
      </w:r>
      <w:r>
        <w:rPr>
          <w:rFonts w:hint="default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color="090000" w:fill="FFFFFF"/>
          <w:lang w:val="en-US" w:eastAsia="zh-CN"/>
        </w:rPr>
        <w:t>万元，占100%；项目支出0万元。</w:t>
      </w:r>
    </w:p>
    <w:p>
      <w:pPr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60" w:lineRule="atLeast"/>
        <w:ind w:left="0" w:right="0" w:firstLine="640"/>
        <w:jc w:val="left"/>
      </w:pPr>
      <w:r>
        <w:rPr>
          <w:rFonts w:hint="eastAsia" w:ascii="黑体" w:hAnsi="宋体" w:eastAsia="黑体" w:cs="黑体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color="090000" w:fill="FFFFFF"/>
          <w:lang w:val="en-US" w:eastAsia="zh-CN"/>
        </w:rPr>
        <w:t>四、财政拨款收入支出预算总体情况说明</w:t>
      </w:r>
    </w:p>
    <w:p>
      <w:pPr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135" w:lineRule="atLeast"/>
        <w:ind w:left="0" w:right="0" w:firstLine="640"/>
        <w:jc w:val="left"/>
      </w:pPr>
      <w:r>
        <w:rPr>
          <w:rFonts w:hint="eastAsia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color="090000" w:fill="FFFFFF"/>
          <w:lang w:val="en-US" w:eastAsia="zh-CN"/>
        </w:rPr>
        <w:t>淮阳县</w:t>
      </w:r>
      <w:r>
        <w:rPr>
          <w:rFonts w:hint="default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color="090000" w:fill="FFFFFF"/>
          <w:lang w:val="en-US" w:eastAsia="zh-CN"/>
        </w:rPr>
        <w:t>政法委2017年一般公共预算收支预算</w:t>
      </w:r>
      <w:r>
        <w:rPr>
          <w:rFonts w:hint="eastAsia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color="090000" w:fill="FFFFFF"/>
          <w:lang w:val="en-US" w:eastAsia="zh-CN"/>
        </w:rPr>
        <w:t>539.87</w:t>
      </w:r>
      <w:r>
        <w:rPr>
          <w:rFonts w:hint="default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color="090000" w:fill="FFFFFF"/>
          <w:lang w:val="en-US" w:eastAsia="zh-CN"/>
        </w:rPr>
        <w:t>万元，政府性基金收支预算0万元。与 2016 年相比，一般公共预算收支预算</w:t>
      </w:r>
      <w:r>
        <w:rPr>
          <w:rFonts w:hint="eastAsia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color="090000" w:fill="FFFFFF"/>
          <w:lang w:val="en-US" w:eastAsia="zh-CN"/>
        </w:rPr>
        <w:t>减少200.06</w:t>
      </w:r>
      <w:r>
        <w:rPr>
          <w:rFonts w:hint="default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color="090000" w:fill="FFFFFF"/>
          <w:lang w:val="en-US" w:eastAsia="zh-CN"/>
        </w:rPr>
        <w:t>万元。主要原因</w:t>
      </w:r>
      <w:r>
        <w:rPr>
          <w:rFonts w:hint="eastAsia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color="090000" w:fill="FFFFFF"/>
          <w:lang w:val="en-US" w:eastAsia="zh-CN"/>
        </w:rPr>
        <w:t>是巡防队员的工资预算到县公安局及取消了平安建设奖金</w:t>
      </w:r>
      <w:r>
        <w:rPr>
          <w:rFonts w:hint="default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color="090000" w:fill="FFFFFF"/>
          <w:lang w:val="en-US" w:eastAsia="zh-CN"/>
        </w:rPr>
        <w:t>。</w:t>
      </w:r>
    </w:p>
    <w:p>
      <w:pPr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60" w:lineRule="atLeast"/>
        <w:ind w:left="0" w:right="0" w:firstLine="640"/>
        <w:jc w:val="left"/>
      </w:pPr>
      <w:r>
        <w:rPr>
          <w:rFonts w:hint="eastAsia" w:ascii="黑体" w:hAnsi="宋体" w:eastAsia="黑体" w:cs="黑体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color="090000" w:fill="FFFFFF"/>
          <w:lang w:val="en-US" w:eastAsia="zh-CN"/>
        </w:rPr>
        <w:t>五、一般公共预算支出预算情况说明</w:t>
      </w:r>
    </w:p>
    <w:p>
      <w:pPr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60" w:lineRule="atLeast"/>
        <w:ind w:left="0" w:right="0" w:firstLine="640"/>
        <w:jc w:val="left"/>
      </w:pPr>
      <w:r>
        <w:rPr>
          <w:rFonts w:hint="eastAsia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color="090000" w:fill="FFFFFF"/>
          <w:lang w:val="en-US" w:eastAsia="zh-CN"/>
        </w:rPr>
        <w:t>淮阳县</w:t>
      </w:r>
      <w:r>
        <w:rPr>
          <w:rFonts w:hint="default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color="090000" w:fill="FFFFFF"/>
          <w:lang w:val="en-US" w:eastAsia="zh-CN"/>
        </w:rPr>
        <w:t>政法委2017 年一般公共预算支出年初预算为</w:t>
      </w:r>
      <w:r>
        <w:rPr>
          <w:rFonts w:hint="eastAsia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color="090000" w:fill="FFFFFF"/>
          <w:lang w:val="en-US" w:eastAsia="zh-CN"/>
        </w:rPr>
        <w:t>539.87</w:t>
      </w:r>
      <w:r>
        <w:rPr>
          <w:rFonts w:hint="default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color="090000" w:fill="FFFFFF"/>
          <w:lang w:val="en-US" w:eastAsia="zh-CN"/>
        </w:rPr>
        <w:t>万元。主要用于以下方面：一般公共服务支出</w:t>
      </w:r>
      <w:r>
        <w:rPr>
          <w:rFonts w:hint="eastAsia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color="090000" w:fill="FFFFFF"/>
          <w:lang w:val="en-US" w:eastAsia="zh-CN"/>
        </w:rPr>
        <w:t>539.87</w:t>
      </w:r>
      <w:r>
        <w:rPr>
          <w:rFonts w:hint="default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color="090000" w:fill="FFFFFF"/>
          <w:lang w:val="en-US" w:eastAsia="zh-CN"/>
        </w:rPr>
        <w:t>万元；社会保障和就业（类）支出</w:t>
      </w:r>
      <w:r>
        <w:rPr>
          <w:rFonts w:hint="eastAsia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color="090000" w:fill="FFFFFF"/>
          <w:lang w:val="en-US" w:eastAsia="zh-CN"/>
        </w:rPr>
        <w:t>0</w:t>
      </w:r>
      <w:r>
        <w:rPr>
          <w:rFonts w:hint="default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color="090000" w:fill="FFFFFF"/>
          <w:lang w:val="en-US" w:eastAsia="zh-CN"/>
        </w:rPr>
        <w:t>万元；医疗卫生（类）支出</w:t>
      </w:r>
      <w:r>
        <w:rPr>
          <w:rFonts w:hint="eastAsia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color="090000" w:fill="FFFFFF"/>
          <w:lang w:val="en-US" w:eastAsia="zh-CN"/>
        </w:rPr>
        <w:t>0</w:t>
      </w:r>
      <w:r>
        <w:rPr>
          <w:rFonts w:hint="default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color="090000" w:fill="FFFFFF"/>
          <w:lang w:val="en-US" w:eastAsia="zh-CN"/>
        </w:rPr>
        <w:t>万元；住房保障（类）支出</w:t>
      </w:r>
      <w:r>
        <w:rPr>
          <w:rFonts w:hint="eastAsia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color="090000" w:fill="FFFFFF"/>
          <w:lang w:val="en-US" w:eastAsia="zh-CN"/>
        </w:rPr>
        <w:t>0</w:t>
      </w:r>
      <w:r>
        <w:rPr>
          <w:rFonts w:hint="default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color="090000" w:fill="FFFFFF"/>
          <w:lang w:val="en-US" w:eastAsia="zh-CN"/>
        </w:rPr>
        <w:t>万元。</w:t>
      </w:r>
    </w:p>
    <w:p>
      <w:pPr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60" w:lineRule="atLeast"/>
        <w:ind w:left="0" w:right="0" w:firstLine="640"/>
        <w:jc w:val="left"/>
      </w:pPr>
      <w:r>
        <w:rPr>
          <w:rFonts w:hint="eastAsia" w:ascii="黑体" w:hAnsi="宋体" w:eastAsia="黑体" w:cs="黑体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color="090000" w:fill="FFFFFF"/>
          <w:lang w:val="en-US" w:eastAsia="zh-CN"/>
        </w:rPr>
        <w:t>六、一般公共预算基本支出预算情况说明</w:t>
      </w:r>
    </w:p>
    <w:p>
      <w:pPr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60" w:lineRule="atLeast"/>
        <w:ind w:left="0" w:right="0" w:firstLine="640"/>
        <w:jc w:val="left"/>
        <w:rPr>
          <w:rFonts w:hint="eastAsia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color="090000" w:fill="FFFFFF"/>
          <w:lang w:val="en-US" w:eastAsia="zh-CN"/>
        </w:rPr>
      </w:pPr>
      <w:r>
        <w:rPr>
          <w:rFonts w:hint="eastAsia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color="090000" w:fill="FFFFFF"/>
          <w:lang w:val="en-US" w:eastAsia="zh-CN"/>
        </w:rPr>
        <w:t>淮阳县</w:t>
      </w:r>
      <w:r>
        <w:rPr>
          <w:rFonts w:hint="default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color="090000" w:fill="FFFFFF"/>
          <w:lang w:val="en-US" w:eastAsia="zh-CN"/>
        </w:rPr>
        <w:t>政法委2017年一般公共预算基本支出</w:t>
      </w:r>
      <w:r>
        <w:rPr>
          <w:rFonts w:hint="eastAsia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color="090000" w:fill="FFFFFF"/>
          <w:lang w:val="en-US" w:eastAsia="zh-CN"/>
        </w:rPr>
        <w:t>539.87</w:t>
      </w:r>
      <w:r>
        <w:rPr>
          <w:rFonts w:hint="default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color="090000" w:fill="FFFFFF"/>
          <w:lang w:val="en-US" w:eastAsia="zh-CN"/>
        </w:rPr>
        <w:t>万元，其中：</w:t>
      </w:r>
      <w:r>
        <w:rPr>
          <w:rStyle w:val="5"/>
          <w:rFonts w:hint="default" w:ascii="仿宋_GB2312" w:hAnsi="宋体" w:eastAsia="仿宋_GB2312" w:cs="仿宋_GB2312"/>
          <w:b w:val="0"/>
          <w:i w:val="0"/>
          <w:caps w:val="0"/>
          <w:color w:val="666666"/>
          <w:spacing w:val="-1"/>
          <w:kern w:val="0"/>
          <w:sz w:val="32"/>
          <w:szCs w:val="32"/>
          <w:shd w:val="clear" w:color="0A0000" w:fill="FFFFFF"/>
          <w:lang w:val="en-US" w:eastAsia="zh-CN"/>
        </w:rPr>
        <w:t>工资福利支出</w:t>
      </w:r>
      <w:r>
        <w:rPr>
          <w:rFonts w:hint="eastAsia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color="090000" w:fill="FFFFFF"/>
          <w:lang w:val="en-US" w:eastAsia="zh-CN"/>
        </w:rPr>
        <w:t>158.76</w:t>
      </w:r>
      <w:r>
        <w:rPr>
          <w:rFonts w:hint="default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color="090000" w:fill="FFFFFF"/>
          <w:lang w:val="en-US" w:eastAsia="zh-CN"/>
        </w:rPr>
        <w:t>万元。</w:t>
      </w:r>
      <w:r>
        <w:rPr>
          <w:rStyle w:val="5"/>
          <w:rFonts w:hint="default" w:ascii="仿宋_GB2312" w:hAnsi="宋体" w:eastAsia="仿宋_GB2312" w:cs="仿宋_GB2312"/>
          <w:b w:val="0"/>
          <w:i w:val="0"/>
          <w:caps w:val="0"/>
          <w:color w:val="666666"/>
          <w:spacing w:val="-1"/>
          <w:kern w:val="0"/>
          <w:sz w:val="32"/>
          <w:szCs w:val="32"/>
          <w:shd w:val="clear" w:color="0A0000" w:fill="FFFFFF"/>
          <w:lang w:val="en-US" w:eastAsia="zh-CN"/>
        </w:rPr>
        <w:t>商品和服务支出</w:t>
      </w:r>
      <w:r>
        <w:rPr>
          <w:rFonts w:hint="eastAsia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color="090000" w:fill="FFFFFF"/>
          <w:lang w:val="en-US" w:eastAsia="zh-CN"/>
        </w:rPr>
        <w:t>13.14</w:t>
      </w:r>
      <w:r>
        <w:rPr>
          <w:rFonts w:hint="default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color="090000" w:fill="FFFFFF"/>
          <w:lang w:val="en-US" w:eastAsia="zh-CN"/>
        </w:rPr>
        <w:t>万元。</w:t>
      </w:r>
      <w:r>
        <w:rPr>
          <w:rStyle w:val="5"/>
          <w:rFonts w:hint="default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color="0A0000" w:fill="FFFFFF"/>
          <w:lang w:val="en-US" w:eastAsia="zh-CN"/>
        </w:rPr>
        <w:t>对个人和家庭的补助</w:t>
      </w:r>
      <w:r>
        <w:rPr>
          <w:rFonts w:hint="eastAsia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color="090000" w:fill="FFFFFF"/>
          <w:lang w:val="en-US" w:eastAsia="zh-CN"/>
        </w:rPr>
        <w:t>15.97</w:t>
      </w:r>
      <w:r>
        <w:rPr>
          <w:rFonts w:hint="default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color="090000" w:fill="FFFFFF"/>
          <w:lang w:val="en-US" w:eastAsia="zh-CN"/>
        </w:rPr>
        <w:t>万元。生产和事业发展专项支出</w:t>
      </w:r>
      <w:r>
        <w:rPr>
          <w:rFonts w:hint="eastAsia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color="090000" w:fill="FFFFFF"/>
          <w:lang w:val="en-US" w:eastAsia="zh-CN"/>
        </w:rPr>
        <w:t>352万元。</w:t>
      </w:r>
    </w:p>
    <w:p>
      <w:pPr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60" w:lineRule="atLeast"/>
        <w:ind w:left="0" w:right="0" w:firstLine="640"/>
        <w:jc w:val="left"/>
      </w:pPr>
      <w:r>
        <w:rPr>
          <w:rFonts w:hint="eastAsia" w:ascii="黑体" w:hAnsi="宋体" w:eastAsia="黑体" w:cs="黑体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color="090000" w:fill="FFFFFF"/>
          <w:lang w:val="en-US" w:eastAsia="zh-CN"/>
        </w:rPr>
        <w:t>七、政府性基金预算支出预算情况说明及采购支出情况</w:t>
      </w:r>
    </w:p>
    <w:p>
      <w:pPr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60" w:lineRule="atLeast"/>
        <w:ind w:left="0" w:right="0" w:firstLine="640"/>
        <w:jc w:val="left"/>
      </w:pPr>
      <w:r>
        <w:rPr>
          <w:rFonts w:hint="eastAsia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color="090000" w:fill="FFFFFF"/>
          <w:lang w:val="en-US" w:eastAsia="zh-CN"/>
        </w:rPr>
        <w:t>淮阳县</w:t>
      </w:r>
      <w:r>
        <w:rPr>
          <w:rFonts w:hint="default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color="090000" w:fill="FFFFFF"/>
          <w:lang w:val="en-US" w:eastAsia="zh-CN"/>
        </w:rPr>
        <w:t>政法委2017年没有使用政府性基金预算拨款</w:t>
      </w:r>
      <w:r>
        <w:rPr>
          <w:rFonts w:hint="eastAsia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color="090000" w:fill="FFFFFF"/>
          <w:lang w:val="en-US" w:eastAsia="zh-CN"/>
        </w:rPr>
        <w:t>和采购</w:t>
      </w:r>
      <w:r>
        <w:rPr>
          <w:rFonts w:hint="default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color="090000" w:fill="FFFFFF"/>
          <w:lang w:val="en-US" w:eastAsia="zh-CN"/>
        </w:rPr>
        <w:t>安排的支出。</w:t>
      </w:r>
    </w:p>
    <w:p>
      <w:pPr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60" w:lineRule="atLeast"/>
        <w:ind w:left="0" w:right="0" w:firstLine="640"/>
        <w:jc w:val="left"/>
      </w:pPr>
      <w:r>
        <w:rPr>
          <w:rFonts w:hint="eastAsia" w:ascii="黑体" w:hAnsi="宋体" w:eastAsia="黑体" w:cs="黑体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color="090000" w:fill="FFFFFF"/>
          <w:lang w:val="en-US" w:eastAsia="zh-CN"/>
        </w:rPr>
        <w:t>八、 “三公”经费支出预算情况说明</w:t>
      </w:r>
    </w:p>
    <w:p>
      <w:pPr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60" w:lineRule="atLeast"/>
        <w:ind w:left="0" w:right="0" w:firstLine="640"/>
        <w:jc w:val="left"/>
      </w:pPr>
      <w:r>
        <w:rPr>
          <w:rFonts w:hint="eastAsia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color="090000" w:fill="FFFFFF"/>
          <w:lang w:val="en-US" w:eastAsia="zh-CN"/>
        </w:rPr>
        <w:t>淮阳县</w:t>
      </w:r>
      <w:r>
        <w:rPr>
          <w:rFonts w:hint="default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color="090000" w:fill="FFFFFF"/>
          <w:lang w:val="en-US" w:eastAsia="zh-CN"/>
        </w:rPr>
        <w:t>政法委2017 年“三公”经费预算为</w:t>
      </w:r>
      <w:r>
        <w:rPr>
          <w:rFonts w:hint="eastAsia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color="090000" w:fill="FFFFFF"/>
          <w:lang w:val="en-US" w:eastAsia="zh-CN"/>
        </w:rPr>
        <w:t>8.94</w:t>
      </w:r>
      <w:r>
        <w:rPr>
          <w:rFonts w:hint="default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color="090000" w:fill="FFFFFF"/>
          <w:lang w:val="en-US" w:eastAsia="zh-CN"/>
        </w:rPr>
        <w:t>万元。2017年“三公”经费支出预算数比 2016 年减少。</w:t>
      </w:r>
    </w:p>
    <w:p>
      <w:pPr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135" w:lineRule="atLeast"/>
        <w:ind w:left="0" w:right="0" w:firstLine="640"/>
        <w:jc w:val="left"/>
      </w:pPr>
      <w:r>
        <w:rPr>
          <w:rFonts w:hint="default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color="090000" w:fill="FFFFFF"/>
          <w:lang w:val="en-US" w:eastAsia="zh-CN"/>
        </w:rPr>
        <w:t>具体支出情况如下：</w:t>
      </w:r>
    </w:p>
    <w:p>
      <w:pPr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60" w:lineRule="atLeast"/>
        <w:ind w:left="0" w:right="0" w:firstLine="636"/>
        <w:jc w:val="left"/>
      </w:pPr>
      <w:r>
        <w:rPr>
          <w:rStyle w:val="5"/>
          <w:rFonts w:hint="default" w:ascii="仿宋_GB2312" w:hAnsi="宋体" w:eastAsia="仿宋_GB2312" w:cs="仿宋_GB2312"/>
          <w:b w:val="0"/>
          <w:i w:val="0"/>
          <w:caps w:val="0"/>
          <w:color w:val="666666"/>
          <w:spacing w:val="-1"/>
          <w:kern w:val="0"/>
          <w:sz w:val="32"/>
          <w:szCs w:val="32"/>
          <w:shd w:val="clear" w:color="0A0000" w:fill="FFFFFF"/>
          <w:lang w:val="en-US" w:eastAsia="zh-CN"/>
        </w:rPr>
        <w:t>（一）因公出国（境）费</w:t>
      </w:r>
      <w:r>
        <w:rPr>
          <w:rFonts w:hint="default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color="090000" w:fill="FFFFFF"/>
          <w:lang w:val="en-US" w:eastAsia="zh-CN"/>
        </w:rPr>
        <w:t>0</w:t>
      </w:r>
      <w:r>
        <w:rPr>
          <w:rFonts w:hint="default" w:ascii="仿宋_GB2312" w:hAnsi="宋体" w:eastAsia="仿宋_GB2312" w:cs="仿宋_GB2312"/>
          <w:b w:val="0"/>
          <w:i w:val="0"/>
          <w:caps w:val="0"/>
          <w:color w:val="666666"/>
          <w:spacing w:val="-1"/>
          <w:kern w:val="0"/>
          <w:sz w:val="32"/>
          <w:szCs w:val="32"/>
          <w:shd w:val="clear" w:color="090000" w:fill="FFFFFF"/>
          <w:lang w:val="en-US" w:eastAsia="zh-CN"/>
        </w:rPr>
        <w:t>万元</w:t>
      </w:r>
      <w:r>
        <w:rPr>
          <w:rFonts w:hint="default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color="090000" w:fill="FFFFFF"/>
          <w:lang w:val="en-US" w:eastAsia="zh-CN"/>
        </w:rPr>
        <w:t>。</w:t>
      </w:r>
    </w:p>
    <w:p>
      <w:pPr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135" w:lineRule="atLeast"/>
        <w:ind w:left="0" w:right="0" w:firstLine="636"/>
        <w:jc w:val="left"/>
      </w:pPr>
      <w:r>
        <w:rPr>
          <w:rStyle w:val="5"/>
          <w:rFonts w:hint="default" w:ascii="仿宋_GB2312" w:hAnsi="宋体" w:eastAsia="仿宋_GB2312" w:cs="仿宋_GB2312"/>
          <w:b w:val="0"/>
          <w:i w:val="0"/>
          <w:caps w:val="0"/>
          <w:color w:val="666666"/>
          <w:spacing w:val="-1"/>
          <w:kern w:val="0"/>
          <w:sz w:val="32"/>
          <w:szCs w:val="32"/>
          <w:shd w:val="clear" w:color="0A0000" w:fill="FFFFFF"/>
          <w:lang w:val="en-US" w:eastAsia="zh-CN"/>
        </w:rPr>
        <w:t>（二）公务用车购置及运行费</w:t>
      </w:r>
      <w:r>
        <w:rPr>
          <w:rFonts w:hint="eastAsia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color="090000" w:fill="FFFFFF"/>
          <w:lang w:val="en-US" w:eastAsia="zh-CN"/>
        </w:rPr>
        <w:t>7.8</w:t>
      </w:r>
      <w:r>
        <w:rPr>
          <w:rFonts w:hint="default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color="090000" w:fill="FFFFFF"/>
          <w:lang w:val="en-US" w:eastAsia="zh-CN"/>
        </w:rPr>
        <w:t>万元。</w:t>
      </w:r>
    </w:p>
    <w:p>
      <w:pPr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135" w:lineRule="atLeast"/>
        <w:ind w:left="0" w:right="0" w:firstLine="636"/>
        <w:jc w:val="left"/>
      </w:pPr>
      <w:r>
        <w:rPr>
          <w:rStyle w:val="5"/>
          <w:rFonts w:hint="default" w:ascii="仿宋_GB2312" w:hAnsi="宋体" w:eastAsia="仿宋_GB2312" w:cs="仿宋_GB2312"/>
          <w:b w:val="0"/>
          <w:i w:val="0"/>
          <w:caps w:val="0"/>
          <w:color w:val="666666"/>
          <w:spacing w:val="-1"/>
          <w:kern w:val="0"/>
          <w:sz w:val="32"/>
          <w:szCs w:val="32"/>
          <w:shd w:val="clear" w:color="0A0000" w:fill="FFFFFF"/>
          <w:lang w:val="en-US" w:eastAsia="zh-CN"/>
        </w:rPr>
        <w:t>（三）公务接待费</w:t>
      </w:r>
      <w:r>
        <w:rPr>
          <w:rFonts w:hint="eastAsia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color="090000" w:fill="FFFFFF"/>
          <w:lang w:val="en-US" w:eastAsia="zh-CN"/>
        </w:rPr>
        <w:t>1.14</w:t>
      </w:r>
      <w:r>
        <w:rPr>
          <w:rFonts w:hint="default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color="090000" w:fill="FFFFFF"/>
          <w:lang w:val="en-US" w:eastAsia="zh-CN"/>
        </w:rPr>
        <w:t>万元，主要用于按规定开支的各类公务接待支出。预算数比 2016 年减少。</w:t>
      </w:r>
    </w:p>
    <w:p>
      <w:pPr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135" w:lineRule="atLeast"/>
        <w:ind w:left="0" w:right="0"/>
        <w:jc w:val="center"/>
        <w:rPr>
          <w:rFonts w:hint="eastAsia" w:ascii="黑体" w:hAnsi="宋体" w:eastAsia="黑体" w:cs="黑体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color="090000" w:fill="FFFFFF"/>
          <w:lang w:val="en-US" w:eastAsia="zh-CN"/>
        </w:rPr>
      </w:pPr>
    </w:p>
    <w:p>
      <w:pPr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135" w:lineRule="atLeast"/>
        <w:ind w:left="0" w:right="0"/>
        <w:jc w:val="center"/>
      </w:pPr>
      <w:r>
        <w:rPr>
          <w:rFonts w:hint="eastAsia" w:ascii="黑体" w:hAnsi="宋体" w:eastAsia="黑体" w:cs="黑体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color="090000" w:fill="FFFFFF"/>
          <w:lang w:val="en-US" w:eastAsia="zh-CN"/>
        </w:rPr>
        <w:t>第三部分</w:t>
      </w:r>
    </w:p>
    <w:p>
      <w:pPr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135" w:lineRule="atLeast"/>
        <w:ind w:left="0" w:right="0"/>
        <w:jc w:val="center"/>
      </w:pPr>
      <w:r>
        <w:rPr>
          <w:rFonts w:hint="eastAsia" w:ascii="黑体" w:hAnsi="宋体" w:eastAsia="黑体" w:cs="黑体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color="090000" w:fill="FFFFFF"/>
          <w:lang w:val="en-US" w:eastAsia="zh-CN"/>
        </w:rPr>
        <w:t>名词解释</w:t>
      </w:r>
    </w:p>
    <w:p>
      <w:pPr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135" w:lineRule="atLeast"/>
        <w:ind w:left="0" w:right="0" w:firstLine="640"/>
        <w:jc w:val="left"/>
      </w:pPr>
      <w:r>
        <w:rPr>
          <w:rFonts w:hint="default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color="090000" w:fill="FFFFFF"/>
          <w:lang w:val="en-US" w:eastAsia="zh-CN"/>
        </w:rPr>
        <w:t>一、财政拨款收入：是指财政当年拨付的资金。</w:t>
      </w:r>
    </w:p>
    <w:p>
      <w:pPr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135" w:lineRule="atLeast"/>
        <w:ind w:left="0" w:right="0" w:firstLine="640"/>
        <w:jc w:val="left"/>
      </w:pPr>
      <w:r>
        <w:rPr>
          <w:rFonts w:hint="default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color="090000" w:fill="FFFFFF"/>
          <w:lang w:val="en-US" w:eastAsia="zh-CN"/>
        </w:rPr>
        <w:t>二、事业收入：是指事业单位开展专业活动及辅助活动所取 得的收入。</w:t>
      </w:r>
    </w:p>
    <w:p>
      <w:pPr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135" w:lineRule="atLeast"/>
        <w:ind w:left="0" w:right="0" w:firstLine="640"/>
        <w:jc w:val="left"/>
      </w:pPr>
      <w:r>
        <w:rPr>
          <w:rFonts w:hint="default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color="090000" w:fill="FFFFFF"/>
          <w:lang w:val="en-US" w:eastAsia="zh-CN"/>
        </w:rPr>
        <w:t>三、其他收入：是指部门取得的除“财政拨款”、“事业收入”、“事业单位经营收入”等以外的收入。</w:t>
      </w:r>
    </w:p>
    <w:p>
      <w:pPr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135" w:lineRule="atLeast"/>
        <w:ind w:left="0" w:right="0" w:firstLine="640"/>
        <w:jc w:val="left"/>
      </w:pPr>
      <w:r>
        <w:rPr>
          <w:rFonts w:hint="default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color="090000" w:fill="FFFFFF"/>
          <w:lang w:val="en-US" w:eastAsia="zh-CN"/>
        </w:rPr>
        <w:t>四、用事业基金弥补收支差额：是指事业单位在当年的“财政拨款收入”、“事业收入”、“经营收入”和“其他收入”不足以安排当年支出的情况下，使用以前年度积累的事业基金（即事业单位以前各年度收支相抵后，按国家规定提取、用于弥补以后年度收支差额的基金）弥补当年收支缺口的资金。</w:t>
      </w:r>
    </w:p>
    <w:p>
      <w:pPr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135" w:lineRule="atLeast"/>
        <w:ind w:left="0" w:right="0" w:firstLine="640"/>
        <w:jc w:val="left"/>
      </w:pPr>
      <w:r>
        <w:rPr>
          <w:rFonts w:hint="default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color="090000" w:fill="FFFFFF"/>
          <w:lang w:val="en-US" w:eastAsia="zh-CN"/>
        </w:rPr>
        <w:t>五、基本支出：是指为保障机构正常运转、完成日常工作任务所必需的开支，其内容包括人员经费和日常公用经费两部分。</w:t>
      </w:r>
    </w:p>
    <w:p>
      <w:pPr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135" w:lineRule="atLeast"/>
        <w:ind w:left="0" w:right="0" w:firstLine="640"/>
        <w:jc w:val="left"/>
      </w:pPr>
      <w:r>
        <w:rPr>
          <w:rFonts w:hint="default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color="090000" w:fill="FFFFFF"/>
          <w:lang w:val="en-US" w:eastAsia="zh-CN"/>
        </w:rPr>
        <w:t>六、项目支出：是指在基本支出之外，为完成特定的行政工作任务或事业发展目标所发生的支出。</w:t>
      </w:r>
    </w:p>
    <w:p>
      <w:pPr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135" w:lineRule="atLeast"/>
        <w:ind w:left="0" w:right="0" w:firstLine="640"/>
        <w:jc w:val="left"/>
      </w:pPr>
      <w:r>
        <w:rPr>
          <w:rFonts w:hint="default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color="090000" w:fill="FFFFFF"/>
          <w:lang w:val="en-US" w:eastAsia="zh-CN"/>
        </w:rPr>
        <w:t>七、“三公”经费：是指纳入省级财政预算管理，部门使用财政拨款安排的因公出国（境）费、公务用车购置及运行费和公务接待费。其中，因公出国（境）费反映单位公务出国（境）的住宿费、旅费、伙食补助费、杂费、培训费等支出；公务用车购置及运行费反映单位公务用车购置费及租用费、燃料费、维修费、过路过桥费、保险费、安全奖励费用等支出；公务接待费反映单位按规定开支的各类公务接待（含外宾接待）支出。</w:t>
      </w:r>
    </w:p>
    <w:p>
      <w:pPr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135" w:lineRule="atLeast"/>
        <w:ind w:left="0" w:right="0" w:firstLine="640"/>
        <w:jc w:val="left"/>
      </w:pPr>
      <w:r>
        <w:rPr>
          <w:rFonts w:hint="default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color="090000" w:fill="FFFFFF"/>
          <w:lang w:val="en-US" w:eastAsia="zh-CN"/>
        </w:rPr>
        <w:t>八、机关运行经费：是指为保障行政单位（含参照公务员法管理的事业单位）运行用于购买货物和服务的各项资金，包括办公及印刷费、邮电费、差旅费、会议费、福利费、日常维修费及一般设备购置费、办公用房水电费、办公用房取暖费、办公用房物业管理费、公务用车运行维护费以及其他费用。</w:t>
      </w:r>
    </w:p>
    <w:p/>
    <w:sectPr>
      <w:pgSz w:w="11906" w:h="16838"/>
      <w:pgMar w:top="1440" w:right="1800" w:bottom="1440" w:left="1800" w:header="851" w:footer="992" w:gutter="0"/>
      <w:cols w:space="720" w:num="1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Tahoma">
    <w:panose1 w:val="020B0604030504040204"/>
    <w:charset w:val="00"/>
    <w:family w:val="auto"/>
    <w:pitch w:val="default"/>
    <w:sig w:usb0="61007A87" w:usb1="80000000" w:usb2="00000008" w:usb3="00000000" w:csb0="200101FF" w:csb1="2028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微软雅黑">
    <w:panose1 w:val="020B0503020204020204"/>
    <w:charset w:val="86"/>
    <w:family w:val="auto"/>
    <w:pitch w:val="default"/>
    <w:sig w:usb0="80000287" w:usb1="2A0F3C52" w:usb2="00000016" w:usb3="00000000" w:csb0="0004001F" w:csb1="00000000"/>
  </w:font>
  <w:font w:name="Cambria">
    <w:panose1 w:val="02040503050406030204"/>
    <w:charset w:val="00"/>
    <w:family w:val="auto"/>
    <w:pitch w:val="default"/>
    <w:sig w:usb0="A00002EF" w:usb1="4000004B" w:usb2="00000000" w:usb3="00000000" w:csb0="2000009F" w:csb1="00000000"/>
  </w:font>
  <w:font w:name="Calibri">
    <w:panose1 w:val="020F0502020204030204"/>
    <w:charset w:val="00"/>
    <w:family w:val="auto"/>
    <w:pitch w:val="default"/>
    <w:sig w:usb0="A00002EF" w:usb1="4000207B" w:usb2="00000000" w:usb3="00000000" w:csb0="2000009F" w:csb1="00000000"/>
  </w:font>
  <w:font w:name="Bookshelf Symbol 7">
    <w:altName w:val="Symbol"/>
    <w:panose1 w:val="05010101010101010101"/>
    <w:charset w:val="02"/>
    <w:family w:val="auto"/>
    <w:pitch w:val="default"/>
    <w:sig w:usb0="00000000" w:usb1="00000000" w:usb2="00000000" w:usb3="00000000" w:csb0="80000000" w:csb1="00000000"/>
  </w:font>
  <w:font w:name="PMingLiU">
    <w:panose1 w:val="02020300000000000000"/>
    <w:charset w:val="88"/>
    <w:family w:val="auto"/>
    <w:pitch w:val="default"/>
    <w:sig w:usb0="00000003" w:usb1="082E0000" w:usb2="00000016" w:usb3="00000000" w:csb0="00100001" w:csb1="00000000"/>
  </w:font>
  <w:font w:name="方正小标宋简体">
    <w:altName w:val="微软雅黑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altName w:val="微软雅黑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altName w:val="楷体_GB2312"/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mbria Math">
    <w:panose1 w:val="02040503050406030204"/>
    <w:charset w:val="00"/>
    <w:family w:val="roman"/>
    <w:pitch w:val="default"/>
    <w:sig w:usb0="A00002EF" w:usb1="420020EB" w:usb2="00000000" w:usb3="00000000" w:csb0="2000009F" w:csb1="00000000"/>
  </w:font>
  <w:font w:name="Palatino Linotype">
    <w:panose1 w:val="02040502050505030304"/>
    <w:charset w:val="00"/>
    <w:family w:val="auto"/>
    <w:pitch w:val="default"/>
    <w:sig w:usb0="E0000387" w:usb1="40000013" w:usb2="00000000" w:usb3="00000000" w:csb0="2000019F" w:csb1="00000000"/>
  </w:font>
  <w:font w:name="Century Gothic">
    <w:altName w:val="Trebuchet MS"/>
    <w:panose1 w:val="020B0502020202020204"/>
    <w:charset w:val="00"/>
    <w:family w:val="auto"/>
    <w:pitch w:val="default"/>
    <w:sig w:usb0="00000287" w:usb1="00000000" w:usb2="00000000" w:usb3="00000000" w:csb0="2000009F" w:csb1="DFD70000"/>
  </w:font>
  <w:font w:name="΢���ź�">
    <w:altName w:val="Courier New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Trebuchet MS">
    <w:panose1 w:val="020B0603020202020204"/>
    <w:charset w:val="00"/>
    <w:family w:val="auto"/>
    <w:pitch w:val="default"/>
    <w:sig w:usb0="00000287" w:usb1="00000000" w:usb2="00000000" w:usb3="00000000" w:csb0="2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0"/>
  <w:bordersDoNotSurroundFooter w:val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useNormalStyleForList/>
    <w:doNotUseIndentAsNumberingTabStop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uiCompat97To2003/>
  <w:shapeDefaults>
    <o:shapedefaults fillcolor="#9CBEE0" fill="t" stroke="t">
      <v:fill type="gradient" on="t" color2="#BBD5F0" focus="0%" focussize="0f,0f" focusposition="0f,0f">
        <o:fill type="gradientUnscaled" v:ext="backwardCompatible"/>
      </v:fill>
      <v:stroke weight="1.25pt" color="#739CC3" color2="#FFFFFF" miterlimit="2"/>
    </o:shapedefaults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  <w:lang w:val="en-US" w:eastAsia="zh-CN" w:bidi="ar-SA"/>
      </w:rPr>
    </w:rPrDefault>
  </w:docDefaults>
  <w:style w:type="paragraph" w:default="1" w:styleId="1">
    <w:name w:val="Normal"/>
    <w:pPr>
      <w:widowControl w:val="0"/>
      <w:jc w:val="both"/>
    </w:pPr>
    <w:rPr>
      <w:rFonts w:ascii="Calibri" w:hAnsi="Calibri" w:eastAsia="宋体" w:cs="黑体"/>
      <w:kern w:val="2"/>
      <w:sz w:val="21"/>
      <w:szCs w:val="24"/>
      <w:lang w:val="en-US" w:eastAsia="zh-CN" w:bidi="ar-SA"/>
    </w:rPr>
  </w:style>
  <w:style w:type="character" w:default="1" w:styleId="4">
    <w:name w:val="Default Paragraph Font"/>
  </w:style>
  <w:style w:type="paragraph" w:styleId="2">
    <w:name w:val="footer"/>
    <w:basedOn w:val="1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character" w:styleId="5">
    <w:name w:val="Strong"/>
    <w:basedOn w:val="4"/>
    <w:rPr>
      <w:b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fontTable" Target="fontTable.xml"/><Relationship Id="rId2" Type="http://schemas.openxmlformats.org/officeDocument/2006/relationships/styles" Target="styles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 专业版_9.1.0.4167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2017-11-09T19:24:00Z</dcterms:created>
  <dc:creator>macpro</dc:creator>
  <dcterms:modified xsi:type="dcterms:W3CDTF">2017-11-17T11:04:08Z</dcterms:modified>
  <dc:title>Administrator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2052-9.1.0.4167</vt:lpwstr>
  </property>
</Properties>
</file>