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285"/>
        <w:ind w:left="2273" w:right="-63" w:firstLine="520" w:firstLineChars="100"/>
        <w:rPr>
          <w:rFonts w:hint="eastAsia" w:ascii="黑体" w:eastAsia="黑体"/>
          <w:sz w:val="52"/>
          <w:lang w:eastAsia="zh-CN"/>
        </w:rPr>
      </w:pPr>
      <w:r>
        <w:rPr>
          <w:rFonts w:hint="eastAsia" w:ascii="黑体" w:eastAsia="黑体"/>
          <w:sz w:val="52"/>
          <w:lang w:eastAsia="zh-CN"/>
        </w:rPr>
        <w:t>淮阳县科学技术协会</w:t>
      </w:r>
    </w:p>
    <w:p>
      <w:pPr>
        <w:spacing w:before="285"/>
        <w:ind w:right="-63" w:firstLine="3120" w:firstLineChars="600"/>
        <w:rPr>
          <w:rFonts w:ascii="黑体" w:eastAsia="黑体"/>
          <w:sz w:val="52"/>
        </w:rPr>
      </w:pPr>
      <w:r>
        <w:rPr>
          <w:rFonts w:hint="eastAsia" w:ascii="黑体" w:eastAsia="黑体"/>
          <w:sz w:val="52"/>
        </w:rPr>
        <w:t>2017年度部门决算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w:t>
      </w:r>
      <w:r>
        <w:rPr>
          <w:rFonts w:hint="eastAsia" w:ascii="黑体" w:eastAsia="黑体"/>
          <w:lang w:val="en-US" w:eastAsia="zh-CN"/>
        </w:rPr>
        <w:t>八</w:t>
      </w:r>
      <w:r>
        <w:rPr>
          <w:rFonts w:hint="eastAsia" w:ascii="黑体" w:eastAsia="黑体"/>
        </w:rPr>
        <w:t>月</w:t>
      </w:r>
    </w:p>
    <w:p>
      <w:pPr>
        <w:jc w:val="center"/>
        <w:sectPr>
          <w:footerReference r:id="rId3" w:type="default"/>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    录</w:t>
      </w:r>
    </w:p>
    <w:p>
      <w:pPr>
        <w:pStyle w:val="2"/>
        <w:tabs>
          <w:tab w:val="left" w:pos="2027"/>
        </w:tabs>
        <w:spacing w:before="198"/>
        <w:ind w:left="108" w:leftChars="49" w:firstLine="640" w:firstLineChars="200"/>
        <w:rPr>
          <w:rFonts w:ascii="黑体" w:eastAsia="黑体"/>
        </w:rPr>
      </w:pPr>
      <w:r>
        <w:rPr>
          <w:rFonts w:hint="eastAsia" w:ascii="黑体" w:eastAsia="黑体"/>
        </w:rPr>
        <w:t xml:space="preserve">第一部分 </w:t>
      </w:r>
      <w:r>
        <w:rPr>
          <w:rFonts w:hint="eastAsia" w:ascii="黑体" w:eastAsia="黑体"/>
          <w:lang w:eastAsia="zh-CN"/>
        </w:rPr>
        <w:t>淮阳</w:t>
      </w:r>
      <w:r>
        <w:rPr>
          <w:rFonts w:hint="eastAsia" w:ascii="黑体" w:eastAsia="黑体"/>
          <w:lang w:val="en-US" w:eastAsia="zh-CN"/>
        </w:rPr>
        <w:t>科学技术协会</w:t>
      </w:r>
      <w:r>
        <w:rPr>
          <w:rFonts w:hint="eastAsia" w:ascii="黑体" w:eastAsia="黑体"/>
        </w:rPr>
        <w:t>概况</w:t>
      </w:r>
    </w:p>
    <w:p>
      <w:pPr>
        <w:pStyle w:val="2"/>
        <w:spacing w:before="225" w:line="372" w:lineRule="auto"/>
        <w:ind w:left="747" w:right="6233"/>
        <w:rPr>
          <w:rFonts w:ascii="宋体" w:eastAsia="宋体"/>
        </w:rPr>
      </w:pPr>
      <w:r>
        <w:rPr>
          <w:rFonts w:hint="eastAsia" w:ascii="宋体" w:eastAsia="宋体"/>
        </w:rPr>
        <w:t>一、部门职责二、机构设置</w:t>
      </w:r>
    </w:p>
    <w:p>
      <w:pPr>
        <w:pStyle w:val="2"/>
        <w:tabs>
          <w:tab w:val="left" w:pos="2026"/>
        </w:tabs>
        <w:spacing w:line="406"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二</w:t>
      </w:r>
      <w:r>
        <w:rPr>
          <w:rFonts w:hint="eastAsia" w:ascii="黑体" w:eastAsia="黑体"/>
        </w:rPr>
        <w:t>部分</w:t>
      </w:r>
      <w:r>
        <w:rPr>
          <w:rFonts w:hint="eastAsia" w:ascii="黑体" w:eastAsia="黑体"/>
        </w:rPr>
        <w:tab/>
      </w:r>
      <w:r>
        <w:rPr>
          <w:rFonts w:hint="eastAsia" w:ascii="黑体" w:eastAsia="黑体"/>
        </w:rPr>
        <w:t xml:space="preserve"> 2017</w:t>
      </w:r>
      <w:r>
        <w:rPr>
          <w:rFonts w:hint="eastAsia" w:ascii="黑体" w:eastAsia="黑体"/>
          <w:spacing w:val="-82"/>
        </w:rPr>
        <w:t xml:space="preserve"> </w:t>
      </w:r>
      <w:r>
        <w:rPr>
          <w:rFonts w:hint="eastAsia" w:ascii="黑体" w:eastAsia="黑体"/>
        </w:rPr>
        <w:t>年度部门决算情况说明</w:t>
      </w:r>
    </w:p>
    <w:p>
      <w:pPr>
        <w:pStyle w:val="2"/>
        <w:spacing w:before="225" w:line="372" w:lineRule="auto"/>
        <w:ind w:left="747" w:right="3675"/>
        <w:rPr>
          <w:rFonts w:ascii="宋体" w:eastAsia="宋体"/>
        </w:rPr>
      </w:pPr>
      <w:r>
        <w:rPr>
          <w:rFonts w:hint="eastAsia" w:ascii="宋体" w:eastAsia="宋体"/>
          <w:spacing w:val="-1"/>
        </w:rPr>
        <w:t>一、收入支出决算总体情况说明二、收入决算情况说明</w:t>
      </w:r>
    </w:p>
    <w:p>
      <w:pPr>
        <w:pStyle w:val="2"/>
        <w:spacing w:line="406" w:lineRule="exact"/>
        <w:ind w:left="747"/>
        <w:rPr>
          <w:rFonts w:ascii="宋体" w:eastAsia="宋体"/>
        </w:rPr>
      </w:pPr>
      <w:r>
        <w:rPr>
          <w:rFonts w:hint="eastAsia" w:ascii="宋体" w:eastAsia="宋体"/>
          <w:spacing w:val="-1"/>
        </w:rPr>
        <w:t>三、支出决算情况说明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ascii="宋体" w:eastAsia="宋体"/>
        </w:rPr>
      </w:pPr>
      <w:r>
        <w:rPr>
          <w:rFonts w:hint="eastAsia" w:ascii="宋体" w:eastAsia="宋体"/>
        </w:rPr>
        <w:t>四、财政拨款收入支出决算总体情况说明</w:t>
      </w:r>
    </w:p>
    <w:p>
      <w:pPr>
        <w:pStyle w:val="2"/>
        <w:keepNext w:val="0"/>
        <w:keepLines w:val="0"/>
        <w:pageBreakBefore w:val="0"/>
        <w:widowControl w:val="0"/>
        <w:kinsoku/>
        <w:wordWrap/>
        <w:overflowPunct/>
        <w:topLinePunct w:val="0"/>
        <w:autoSpaceDE w:val="0"/>
        <w:autoSpaceDN w:val="0"/>
        <w:bidi w:val="0"/>
        <w:adjustRightInd/>
        <w:snapToGrid/>
        <w:spacing w:before="224" w:line="360" w:lineRule="auto"/>
        <w:ind w:left="747"/>
        <w:textAlignment w:val="auto"/>
        <w:rPr>
          <w:rFonts w:ascii="宋体" w:eastAsia="宋体"/>
        </w:rPr>
      </w:pPr>
      <w:r>
        <w:rPr>
          <w:rFonts w:hint="eastAsia" w:ascii="宋体" w:eastAsia="宋体"/>
        </w:rPr>
        <w:t>五、一般公共预算财政拨款支出决算情况说明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left="747"/>
        <w:textAlignment w:val="auto"/>
        <w:rPr>
          <w:rFonts w:ascii="宋体" w:eastAsia="宋体"/>
        </w:rPr>
      </w:pPr>
      <w:r>
        <w:rPr>
          <w:rFonts w:hint="eastAsia" w:ascii="宋体" w:eastAsia="宋体"/>
        </w:rPr>
        <w:t>六、一般公共预算财政拨款基本支出决算情况说明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hAnsi="宋体" w:eastAsia="宋体"/>
          <w:spacing w:val="-20"/>
          <w:lang w:val="en-US" w:eastAsia="zh-CN"/>
        </w:rPr>
      </w:pPr>
      <w:r>
        <w:rPr>
          <w:rFonts w:hint="eastAsia" w:ascii="宋体" w:hAnsi="宋体" w:eastAsia="宋体"/>
          <w:spacing w:val="-20"/>
        </w:rPr>
        <w:t>七、一般公共预算财政拨款“三公”经费支出决算情况说</w:t>
      </w:r>
      <w:r>
        <w:rPr>
          <w:rFonts w:hint="eastAsia" w:ascii="宋体" w:hAnsi="宋体" w:eastAsia="宋体"/>
          <w:spacing w:val="-20"/>
          <w:lang w:val="en-US" w:eastAsia="zh-CN"/>
        </w:rPr>
        <w:t>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hAnsi="宋体" w:eastAsia="宋体"/>
          <w:spacing w:val="-20"/>
          <w:lang w:val="en-US" w:eastAsia="zh-CN"/>
        </w:rPr>
      </w:pPr>
      <w:r>
        <w:rPr>
          <w:rFonts w:hint="eastAsia" w:ascii="宋体" w:hAnsi="宋体" w:eastAsia="宋体"/>
          <w:spacing w:val="-20"/>
          <w:lang w:val="en-US" w:eastAsia="zh-CN"/>
        </w:rPr>
        <w:t>八、重点绩效评价结果等预算绩效情况说明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eastAsia="宋体"/>
        </w:rPr>
      </w:pPr>
      <w:r>
        <w:rPr>
          <w:rFonts w:hint="eastAsia" w:ascii="宋体" w:hAnsi="宋体" w:eastAsia="宋体"/>
          <w:spacing w:val="-20"/>
          <w:lang w:val="en-US" w:eastAsia="zh-CN"/>
        </w:rPr>
        <w:t>九、</w:t>
      </w:r>
      <w:r>
        <w:rPr>
          <w:rFonts w:hint="eastAsia" w:ascii="宋体" w:eastAsia="宋体"/>
        </w:rPr>
        <w:t>政府性基金预算财政拨款支出决算情况说明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eastAsia="宋体"/>
        </w:rPr>
      </w:pPr>
      <w:r>
        <w:rPr>
          <w:rFonts w:hint="eastAsia" w:ascii="宋体" w:eastAsia="宋体"/>
        </w:rPr>
        <w:t>十、机关运行经费支出情况说明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eastAsia="宋体"/>
        </w:rPr>
      </w:pPr>
      <w:r>
        <w:rPr>
          <w:rFonts w:hint="eastAsia" w:ascii="宋体" w:eastAsia="宋体"/>
        </w:rPr>
        <w:t>十一、政府采购支出情况说明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right="1434" w:firstLine="640" w:firstLineChars="200"/>
        <w:textAlignment w:val="auto"/>
        <w:rPr>
          <w:rFonts w:hint="eastAsia" w:ascii="宋体" w:hAnsi="宋体" w:eastAsia="宋体"/>
          <w:spacing w:val="-20"/>
          <w:lang w:val="en-US" w:eastAsia="zh-CN"/>
        </w:rPr>
        <w:sectPr>
          <w:pgSz w:w="11910" w:h="16840"/>
          <w:pgMar w:top="1500" w:right="1520" w:bottom="1180" w:left="1480" w:header="0" w:footer="999" w:gutter="0"/>
          <w:cols w:space="720" w:num="1"/>
        </w:sectPr>
      </w:pPr>
      <w:r>
        <w:rPr>
          <w:rFonts w:hint="eastAsia" w:ascii="宋体" w:eastAsia="宋体"/>
        </w:rPr>
        <w:t>十二、国有资产占用情况说明</w:t>
      </w:r>
    </w:p>
    <w:p>
      <w:pPr>
        <w:pStyle w:val="2"/>
        <w:tabs>
          <w:tab w:val="left" w:pos="2027"/>
        </w:tabs>
        <w:spacing w:line="407"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三</w:t>
      </w:r>
      <w:r>
        <w:rPr>
          <w:rFonts w:hint="eastAsia" w:ascii="黑体" w:eastAsia="黑体"/>
        </w:rPr>
        <w:t>部分</w:t>
      </w:r>
      <w:r>
        <w:rPr>
          <w:rFonts w:hint="eastAsia" w:ascii="黑体" w:eastAsia="黑体"/>
        </w:rPr>
        <w:tab/>
      </w:r>
      <w:r>
        <w:rPr>
          <w:rFonts w:hint="eastAsia" w:ascii="黑体" w:eastAsia="黑体"/>
        </w:rPr>
        <w:t>名词解释</w:t>
      </w:r>
    </w:p>
    <w:p>
      <w:pPr>
        <w:pStyle w:val="2"/>
        <w:tabs>
          <w:tab w:val="left" w:pos="2027"/>
        </w:tabs>
        <w:spacing w:line="406" w:lineRule="exact"/>
        <w:ind w:left="108" w:leftChars="49" w:firstLine="640" w:firstLineChars="200"/>
        <w:rPr>
          <w:rFonts w:hint="eastAsia" w:eastAsia="黑体"/>
          <w:lang w:val="en-US" w:eastAsia="zh-CN"/>
        </w:rPr>
      </w:pPr>
    </w:p>
    <w:p>
      <w:pPr>
        <w:pStyle w:val="2"/>
        <w:tabs>
          <w:tab w:val="left" w:pos="2027"/>
        </w:tabs>
        <w:spacing w:line="406" w:lineRule="exact"/>
        <w:ind w:left="108" w:leftChars="49" w:firstLine="640" w:firstLineChars="200"/>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2"/>
        <w:spacing w:line="406" w:lineRule="exact"/>
        <w:ind w:left="747"/>
        <w:rPr>
          <w:rFonts w:ascii="宋体" w:eastAsia="宋体"/>
        </w:rPr>
      </w:pPr>
      <w:r>
        <w:rPr>
          <w:rFonts w:hint="eastAsia" w:ascii="宋体" w:eastAsia="宋体"/>
          <w:spacing w:val="-1"/>
        </w:rPr>
        <w:t>三、支出决算表</w:t>
      </w:r>
    </w:p>
    <w:p>
      <w:pPr>
        <w:pStyle w:val="2"/>
        <w:spacing w:before="224"/>
        <w:ind w:left="747"/>
        <w:rPr>
          <w:rFonts w:ascii="宋体" w:eastAsia="宋体"/>
        </w:rPr>
      </w:pPr>
      <w:r>
        <w:rPr>
          <w:rFonts w:hint="eastAsia" w:ascii="宋体" w:eastAsia="宋体"/>
        </w:rPr>
        <w:t>四、财政拨款收入支出决算总表</w:t>
      </w:r>
    </w:p>
    <w:p>
      <w:pPr>
        <w:pStyle w:val="2"/>
        <w:spacing w:before="224"/>
        <w:ind w:left="747"/>
        <w:rPr>
          <w:rFonts w:ascii="宋体" w:eastAsia="宋体"/>
        </w:rPr>
      </w:pPr>
      <w:r>
        <w:rPr>
          <w:rFonts w:hint="eastAsia" w:ascii="宋体" w:eastAsia="宋体"/>
        </w:rPr>
        <w:t>五、一般公共预算财政拨款支出决算表</w:t>
      </w:r>
    </w:p>
    <w:p>
      <w:pPr>
        <w:pStyle w:val="2"/>
        <w:spacing w:before="224"/>
        <w:ind w:left="747"/>
        <w:rPr>
          <w:rFonts w:ascii="宋体" w:eastAsia="宋体"/>
        </w:rPr>
      </w:pPr>
      <w:r>
        <w:rPr>
          <w:rFonts w:hint="eastAsia" w:ascii="宋体" w:eastAsia="宋体"/>
        </w:rPr>
        <w:t>六、一般公共预算财政拨款基本支出决算表</w:t>
      </w:r>
    </w:p>
    <w:p>
      <w:pPr>
        <w:pStyle w:val="2"/>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sect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spacing w:before="2"/>
        <w:rPr>
          <w:rFonts w:ascii="黑体"/>
          <w:sz w:val="26"/>
        </w:rPr>
      </w:pPr>
    </w:p>
    <w:p>
      <w:pPr>
        <w:tabs>
          <w:tab w:val="left" w:pos="3993"/>
        </w:tabs>
        <w:spacing w:before="32"/>
        <w:jc w:val="center"/>
        <w:rPr>
          <w:rFonts w:ascii="黑体" w:eastAsia="黑体"/>
          <w:sz w:val="48"/>
        </w:rPr>
      </w:pPr>
      <w:r>
        <w:rPr>
          <w:rFonts w:hint="eastAsia" w:ascii="黑体" w:eastAsia="黑体"/>
          <w:sz w:val="48"/>
        </w:rPr>
        <w:t>第一部分</w:t>
      </w:r>
    </w:p>
    <w:p>
      <w:pPr>
        <w:tabs>
          <w:tab w:val="left" w:pos="3993"/>
        </w:tabs>
        <w:spacing w:before="32"/>
        <w:jc w:val="center"/>
        <w:rPr>
          <w:rFonts w:hint="eastAsia" w:ascii="黑体" w:eastAsia="黑体"/>
          <w:sz w:val="48"/>
        </w:rPr>
      </w:pPr>
      <w:r>
        <w:rPr>
          <w:rFonts w:hint="eastAsia" w:ascii="黑体" w:eastAsia="黑体"/>
          <w:sz w:val="48"/>
        </w:rPr>
        <w:t>淮阳县</w:t>
      </w:r>
      <w:r>
        <w:rPr>
          <w:rFonts w:hint="eastAsia" w:ascii="黑体" w:eastAsia="黑体"/>
          <w:sz w:val="48"/>
          <w:lang w:val="en-US" w:eastAsia="zh-CN"/>
        </w:rPr>
        <w:t>科学技术协会</w:t>
      </w:r>
      <w:r>
        <w:rPr>
          <w:rFonts w:hint="eastAsia" w:ascii="黑体" w:eastAsia="黑体"/>
          <w:sz w:val="48"/>
        </w:rPr>
        <w:t>概况</w:t>
      </w: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rFonts w:hint="eastAsia" w:ascii="黑体" w:eastAsia="黑体"/>
          <w:u w:val="none"/>
        </w:rPr>
      </w:pPr>
    </w:p>
    <w:p>
      <w:pPr>
        <w:pStyle w:val="2"/>
        <w:spacing w:before="26"/>
        <w:ind w:left="957"/>
        <w:rPr>
          <w:u w:val="none"/>
        </w:rPr>
      </w:pPr>
      <w:r>
        <w:rPr>
          <w:rFonts w:hint="eastAsia" w:ascii="黑体" w:eastAsia="黑体"/>
          <w:u w:val="none"/>
        </w:rPr>
        <w:t>一、部门职责</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en-US" w:eastAsia="zh-CN" w:bidi="zh-CN"/>
        </w:rPr>
        <w:t>淮阳县科学技术协会</w:t>
      </w:r>
      <w:r>
        <w:rPr>
          <w:rFonts w:hint="eastAsia" w:ascii="仿宋_GB2312" w:hAnsi="仿宋_GB2312" w:eastAsia="仿宋_GB2312" w:cs="仿宋_GB2312"/>
          <w:sz w:val="32"/>
          <w:szCs w:val="32"/>
          <w:u w:val="none"/>
          <w:lang w:val="zh-CN" w:eastAsia="zh-CN" w:bidi="zh-CN"/>
        </w:rPr>
        <w:t>是科学技术工作者的群众组织，是党和政府联系科学技术工作者的桥梁和纽带，是推动科学技术事业发展的重要力量。主要职能包括：</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zh-CN" w:eastAsia="zh-CN" w:bidi="zh-CN"/>
        </w:rPr>
        <w:t>1、开展学术交流，活跃学术思想，组织科学论证、咨询和政策性建议活动，促进科学发展，推动决策科学化、民主化。</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zh-CN" w:eastAsia="zh-CN" w:bidi="zh-CN"/>
        </w:rPr>
        <w:t>2、普及科学知识，推广先进技术，开展青少年科技教育活动。</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zh-CN" w:eastAsia="zh-CN" w:bidi="zh-CN"/>
        </w:rPr>
        <w:t>3、组织自然科学论文撰写及优秀论文评选活动，搞好农民技术职务资格评定，科普网络建设，农村专业技术研究会的指导工作。</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zh-CN" w:eastAsia="zh-CN" w:bidi="zh-CN"/>
        </w:rPr>
        <w:t>4、开展继续教育和实用技术培训工作，进行技术咨询，促进科技成果转化。</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zh-CN" w:eastAsia="zh-CN" w:bidi="zh-CN"/>
        </w:rPr>
        <w:t>5、表彰奖励优秀科技工作者，弘扬“尊重知识、尊重人才”的风尚，参与地方科技政策、法规的制定，反映科技工作者的呼声和要求，维护科技工作者的合法权益，为科技团体和科技工作者服务。</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zh-CN" w:eastAsia="zh-CN" w:bidi="zh-CN"/>
        </w:rPr>
        <w:t>6、对所属市级学会进行管理，对乡镇科协、厂科协进行业务指导，组织其开展科普活动。</w:t>
      </w:r>
    </w:p>
    <w:p>
      <w:pPr>
        <w:pStyle w:val="2"/>
        <w:spacing w:before="214" w:line="364" w:lineRule="auto"/>
        <w:ind w:right="112" w:firstLine="851"/>
        <w:rPr>
          <w:rFonts w:hint="eastAsia" w:ascii="仿宋_GB2312" w:hAnsi="仿宋_GB2312" w:eastAsia="仿宋_GB2312" w:cs="仿宋_GB2312"/>
          <w:sz w:val="32"/>
          <w:szCs w:val="32"/>
          <w:u w:val="none"/>
          <w:lang w:val="zh-CN" w:eastAsia="zh-CN" w:bidi="zh-CN"/>
        </w:rPr>
      </w:pPr>
      <w:r>
        <w:rPr>
          <w:rFonts w:hint="eastAsia" w:ascii="仿宋_GB2312" w:hAnsi="仿宋_GB2312" w:eastAsia="仿宋_GB2312" w:cs="仿宋_GB2312"/>
          <w:sz w:val="32"/>
          <w:szCs w:val="32"/>
          <w:u w:val="none"/>
          <w:lang w:val="zh-CN" w:eastAsia="zh-CN" w:bidi="zh-CN"/>
        </w:rPr>
        <w:t>7、承担县委、县政府交办的有关事项。</w:t>
      </w:r>
    </w:p>
    <w:p>
      <w:pPr>
        <w:pStyle w:val="2"/>
        <w:spacing w:before="214" w:line="364" w:lineRule="auto"/>
        <w:ind w:right="112" w:firstLine="956"/>
        <w:rPr>
          <w:rFonts w:ascii="仿宋_GB2312" w:hAnsi="仿宋_GB2312" w:eastAsia="仿宋_GB2312" w:cs="仿宋_GB2312"/>
          <w:sz w:val="32"/>
          <w:szCs w:val="32"/>
          <w:u w:val="none"/>
          <w:lang w:val="zh-CN" w:eastAsia="zh-CN" w:bidi="zh-CN"/>
        </w:rPr>
      </w:pPr>
    </w:p>
    <w:p>
      <w:pPr>
        <w:pStyle w:val="2"/>
        <w:spacing w:before="2" w:line="364" w:lineRule="auto"/>
        <w:ind w:right="270" w:firstLine="640" w:firstLineChars="200"/>
        <w:jc w:val="both"/>
        <w:rPr>
          <w:rFonts w:ascii="黑体" w:hAnsi="黑体" w:eastAsia="黑体"/>
        </w:rPr>
      </w:pPr>
      <w:r>
        <w:rPr>
          <w:rFonts w:hint="eastAsia" w:ascii="黑体" w:hAnsi="黑体" w:eastAsia="黑体"/>
        </w:rPr>
        <w:t>二、机构设置</w:t>
      </w:r>
      <w:r>
        <w:rPr>
          <w:rFonts w:ascii="黑体" w:hAnsi="黑体" w:eastAsia="黑体"/>
        </w:rPr>
        <w:t xml:space="preserve"> </w:t>
      </w:r>
    </w:p>
    <w:p>
      <w:pPr>
        <w:widowControl/>
        <w:spacing w:line="640" w:lineRule="exact"/>
        <w:ind w:firstLine="640"/>
        <w:jc w:val="left"/>
        <w:rPr>
          <w:rFonts w:hint="eastAsia" w:ascii="仿宋" w:hAnsi="仿宋" w:eastAsia="仿宋" w:cs="仿宋"/>
          <w:bCs/>
          <w:color w:val="000000"/>
          <w:kern w:val="0"/>
          <w:sz w:val="32"/>
          <w:szCs w:val="32"/>
        </w:rPr>
      </w:pPr>
      <w:r>
        <w:rPr>
          <w:rFonts w:hint="eastAsia" w:ascii="仿宋" w:hAnsi="仿宋" w:eastAsia="仿宋" w:cs="宋体"/>
          <w:color w:val="333333"/>
          <w:kern w:val="0"/>
          <w:sz w:val="32"/>
          <w:szCs w:val="32"/>
          <w:lang w:val="en-US" w:eastAsia="zh-CN"/>
        </w:rPr>
        <w:t>淮阳县科学技术协会部门决算是包含本级决算和所属单位预算在内的汇总决算，科协部门无二级机构</w:t>
      </w:r>
      <w:r>
        <w:rPr>
          <w:rFonts w:hint="eastAsia" w:ascii="仿宋" w:hAnsi="仿宋" w:eastAsia="仿宋" w:cs="仿宋"/>
          <w:bCs/>
          <w:color w:val="000000"/>
          <w:kern w:val="0"/>
          <w:sz w:val="32"/>
          <w:szCs w:val="32"/>
        </w:rPr>
        <w:t>。</w:t>
      </w:r>
    </w:p>
    <w:p>
      <w:pPr>
        <w:pStyle w:val="2"/>
        <w:spacing w:before="2" w:line="364" w:lineRule="auto"/>
        <w:ind w:left="142" w:right="270" w:firstLine="468"/>
        <w:jc w:val="both"/>
        <w:rPr>
          <w:rFonts w:hint="eastAsia"/>
          <w:lang w:val="en-US" w:eastAsia="zh-CN"/>
        </w:rPr>
      </w:pPr>
      <w:r>
        <w:rPr>
          <w:rFonts w:hint="eastAsia"/>
          <w:lang w:eastAsia="zh-CN"/>
        </w:rPr>
        <w:t>淮阳县</w:t>
      </w:r>
      <w:r>
        <w:rPr>
          <w:rFonts w:hint="eastAsia"/>
          <w:lang w:val="en-US" w:eastAsia="zh-CN"/>
        </w:rPr>
        <w:t>科学技术协会</w:t>
      </w:r>
      <w:r>
        <w:rPr>
          <w:rFonts w:hint="eastAsia"/>
        </w:rPr>
        <w:t>参与编制决算的单位有</w:t>
      </w:r>
      <w:r>
        <w:rPr>
          <w:rFonts w:hint="eastAsia"/>
          <w:lang w:val="en-US" w:eastAsia="zh-CN"/>
        </w:rPr>
        <w:t>科协</w:t>
      </w:r>
      <w:r>
        <w:rPr>
          <w:rFonts w:hint="eastAsia"/>
        </w:rPr>
        <w:t>机关本级</w:t>
      </w:r>
      <w:r>
        <w:rPr>
          <w:rFonts w:hint="eastAsia"/>
          <w:lang w:eastAsia="zh-CN"/>
        </w:rPr>
        <w:t>，</w:t>
      </w:r>
      <w:r>
        <w:rPr>
          <w:rFonts w:hint="eastAsia"/>
        </w:rPr>
        <w:t>本决算为</w:t>
      </w:r>
      <w:r>
        <w:rPr>
          <w:rFonts w:hint="eastAsia"/>
          <w:lang w:eastAsia="zh-CN"/>
        </w:rPr>
        <w:t>本级</w:t>
      </w:r>
      <w:r>
        <w:rPr>
          <w:rFonts w:hint="eastAsia"/>
        </w:rPr>
        <w:t>决算</w:t>
      </w:r>
      <w:r>
        <w:rPr>
          <w:rFonts w:hint="eastAsia"/>
          <w:lang w:eastAsia="zh-CN"/>
        </w:rPr>
        <w:t>，</w:t>
      </w:r>
      <w:r>
        <w:rPr>
          <w:rFonts w:hint="eastAsia"/>
          <w:lang w:val="en-US" w:eastAsia="zh-CN"/>
        </w:rPr>
        <w:t>科协机关无二级机构。设有科协分三部一室，即科普部、学会协会部、咨询部、办公室，下属一个青少年科技活动中心。</w:t>
      </w:r>
    </w:p>
    <w:p>
      <w:pPr>
        <w:ind w:firstLine="640" w:firstLineChars="200"/>
        <w:rPr>
          <w:rFonts w:hint="eastAsia" w:ascii="仿宋" w:hAnsi="仿宋" w:eastAsia="仿宋" w:cs="仿宋"/>
          <w:b w:val="0"/>
          <w:bCs w:val="0"/>
          <w:color w:val="666666"/>
          <w:kern w:val="0"/>
          <w:sz w:val="32"/>
          <w:szCs w:val="32"/>
        </w:rPr>
      </w:pPr>
      <w:r>
        <w:rPr>
          <w:rFonts w:hint="eastAsia" w:ascii="仿宋" w:hAnsi="仿宋" w:eastAsia="仿宋" w:cs="仿宋"/>
          <w:b w:val="0"/>
          <w:bCs w:val="0"/>
          <w:color w:val="666666"/>
          <w:kern w:val="0"/>
          <w:sz w:val="32"/>
          <w:szCs w:val="32"/>
          <w:lang w:eastAsia="zh-CN"/>
        </w:rPr>
        <w:t>淮阳县科学技术协会</w:t>
      </w:r>
      <w:r>
        <w:rPr>
          <w:rFonts w:hint="eastAsia" w:ascii="仿宋" w:hAnsi="仿宋" w:eastAsia="仿宋" w:cs="仿宋"/>
          <w:b w:val="0"/>
          <w:bCs w:val="0"/>
          <w:color w:val="666666"/>
          <w:kern w:val="0"/>
          <w:sz w:val="32"/>
          <w:szCs w:val="32"/>
        </w:rPr>
        <w:t>在职人员</w:t>
      </w:r>
      <w:r>
        <w:rPr>
          <w:rFonts w:hint="eastAsia" w:ascii="仿宋" w:hAnsi="仿宋" w:eastAsia="仿宋" w:cs="仿宋"/>
          <w:b w:val="0"/>
          <w:bCs w:val="0"/>
          <w:color w:val="666666"/>
          <w:kern w:val="0"/>
          <w:sz w:val="32"/>
          <w:szCs w:val="32"/>
          <w:lang w:val="en-US" w:eastAsia="zh-CN"/>
        </w:rPr>
        <w:t>6</w:t>
      </w:r>
      <w:r>
        <w:rPr>
          <w:rFonts w:hint="eastAsia" w:ascii="仿宋" w:hAnsi="仿宋" w:eastAsia="仿宋" w:cs="仿宋"/>
          <w:b w:val="0"/>
          <w:bCs w:val="0"/>
          <w:color w:val="666666"/>
          <w:kern w:val="0"/>
          <w:sz w:val="32"/>
          <w:szCs w:val="32"/>
        </w:rPr>
        <w:t>人，其中：公务员编制</w:t>
      </w:r>
      <w:r>
        <w:rPr>
          <w:rFonts w:hint="eastAsia" w:ascii="仿宋" w:hAnsi="仿宋" w:eastAsia="仿宋" w:cs="仿宋"/>
          <w:b w:val="0"/>
          <w:bCs w:val="0"/>
          <w:color w:val="666666"/>
          <w:kern w:val="0"/>
          <w:sz w:val="32"/>
          <w:szCs w:val="32"/>
          <w:lang w:val="en-US" w:eastAsia="zh-CN"/>
        </w:rPr>
        <w:t>6</w:t>
      </w:r>
      <w:r>
        <w:rPr>
          <w:rFonts w:hint="eastAsia" w:ascii="仿宋" w:hAnsi="仿宋" w:eastAsia="仿宋" w:cs="仿宋"/>
          <w:b w:val="0"/>
          <w:bCs w:val="0"/>
          <w:color w:val="666666"/>
          <w:kern w:val="0"/>
          <w:sz w:val="32"/>
          <w:szCs w:val="32"/>
        </w:rPr>
        <w:t>人，事业编制</w:t>
      </w:r>
      <w:r>
        <w:rPr>
          <w:rFonts w:hint="eastAsia" w:ascii="仿宋" w:hAnsi="仿宋" w:eastAsia="仿宋" w:cs="仿宋"/>
          <w:b w:val="0"/>
          <w:bCs w:val="0"/>
          <w:color w:val="666666"/>
          <w:kern w:val="0"/>
          <w:sz w:val="32"/>
          <w:szCs w:val="32"/>
          <w:lang w:val="en-US" w:eastAsia="zh-CN"/>
        </w:rPr>
        <w:t>0</w:t>
      </w:r>
      <w:r>
        <w:rPr>
          <w:rFonts w:hint="eastAsia" w:ascii="仿宋" w:hAnsi="仿宋" w:eastAsia="仿宋" w:cs="仿宋"/>
          <w:b w:val="0"/>
          <w:bCs w:val="0"/>
          <w:color w:val="666666"/>
          <w:kern w:val="0"/>
          <w:sz w:val="32"/>
          <w:szCs w:val="32"/>
        </w:rPr>
        <w:t>人。退休人员</w:t>
      </w:r>
      <w:r>
        <w:rPr>
          <w:rFonts w:hint="eastAsia" w:ascii="仿宋" w:hAnsi="仿宋" w:eastAsia="仿宋" w:cs="仿宋"/>
          <w:b w:val="0"/>
          <w:bCs w:val="0"/>
          <w:color w:val="666666"/>
          <w:kern w:val="0"/>
          <w:sz w:val="32"/>
          <w:szCs w:val="32"/>
          <w:lang w:val="en-US" w:eastAsia="zh-CN"/>
        </w:rPr>
        <w:t>8</w:t>
      </w:r>
      <w:r>
        <w:rPr>
          <w:rFonts w:hint="eastAsia" w:ascii="仿宋" w:hAnsi="仿宋" w:eastAsia="仿宋" w:cs="仿宋"/>
          <w:b w:val="0"/>
          <w:bCs w:val="0"/>
          <w:color w:val="666666"/>
          <w:kern w:val="0"/>
          <w:sz w:val="32"/>
          <w:szCs w:val="32"/>
        </w:rPr>
        <w:t>人。</w:t>
      </w:r>
    </w:p>
    <w:p>
      <w:pPr>
        <w:pStyle w:val="2"/>
        <w:spacing w:before="2" w:line="364" w:lineRule="auto"/>
        <w:ind w:left="142" w:right="270" w:firstLine="468"/>
        <w:jc w:val="both"/>
        <w:rPr>
          <w:rFonts w:hint="eastAsia"/>
          <w:lang w:val="en-US" w:eastAsia="zh-CN"/>
        </w:rPr>
      </w:pPr>
    </w:p>
    <w:p>
      <w:pPr>
        <w:pStyle w:val="2"/>
        <w:spacing w:before="2" w:line="364" w:lineRule="auto"/>
        <w:ind w:right="270"/>
        <w:jc w:val="both"/>
        <w:rPr>
          <w:lang w:val="en-US"/>
        </w:rPr>
      </w:pPr>
    </w:p>
    <w:p>
      <w:pPr>
        <w:pStyle w:val="2"/>
        <w:spacing w:before="2" w:line="364" w:lineRule="auto"/>
        <w:ind w:left="317" w:right="270" w:firstLine="468"/>
        <w:jc w:val="both"/>
        <w:rPr>
          <w:rFonts w:hint="eastAsia" w:eastAsia="仿宋_GB2312"/>
          <w:lang w:val="en-US" w:eastAsia="zh-CN"/>
        </w:rPr>
      </w:pPr>
    </w:p>
    <w:p>
      <w:pPr>
        <w:pStyle w:val="2"/>
        <w:spacing w:before="2" w:line="364" w:lineRule="auto"/>
        <w:ind w:left="317" w:right="270" w:firstLine="468"/>
        <w:jc w:val="both"/>
        <w:rPr>
          <w:lang w:val="en-US"/>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ascii="黑体" w:eastAsia="黑体"/>
          <w:sz w:val="48"/>
        </w:rPr>
      </w:pPr>
      <w:r>
        <w:rPr>
          <w:rFonts w:hint="eastAsia" w:ascii="黑体" w:eastAsia="黑体"/>
          <w:sz w:val="48"/>
        </w:rPr>
        <w:t>第</w:t>
      </w:r>
      <w:r>
        <w:rPr>
          <w:rFonts w:hint="eastAsia" w:ascii="黑体" w:eastAsia="黑体"/>
          <w:sz w:val="48"/>
          <w:lang w:val="en-US" w:eastAsia="zh-CN"/>
        </w:rPr>
        <w:t>二</w:t>
      </w:r>
      <w:r>
        <w:rPr>
          <w:rFonts w:hint="eastAsia" w:ascii="黑体" w:eastAsia="黑体"/>
          <w:sz w:val="48"/>
        </w:rPr>
        <w:t>部分</w:t>
      </w:r>
    </w:p>
    <w:p>
      <w:pPr>
        <w:tabs>
          <w:tab w:val="left" w:pos="3993"/>
        </w:tabs>
        <w:spacing w:before="32"/>
        <w:jc w:val="center"/>
        <w:rPr>
          <w:rFonts w:hint="eastAsia" w:ascii="黑体" w:hAnsi="黑体" w:eastAsia="黑体"/>
          <w:spacing w:val="-6"/>
        </w:rPr>
      </w:pPr>
      <w:r>
        <w:rPr>
          <w:rFonts w:ascii="黑体" w:eastAsia="黑体"/>
          <w:sz w:val="48"/>
        </w:rPr>
        <w:t>2017 年度部门决算情况说明</w:t>
      </w:r>
    </w:p>
    <w:p>
      <w:pPr>
        <w:pStyle w:val="2"/>
        <w:spacing w:before="214" w:line="520" w:lineRule="exact"/>
        <w:ind w:right="112" w:firstLine="693" w:firstLineChars="225"/>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2017年度收、支总计均为124.34万元。与2016年度相比，收、支总计各减少13.56万元，减少9.83%。</w:t>
      </w:r>
      <w:r>
        <w:rPr>
          <w:rFonts w:hint="eastAsia" w:cs="仿宋_GB2312"/>
          <w:sz w:val="32"/>
          <w:szCs w:val="32"/>
          <w:lang w:val="en-US" w:eastAsia="zh-CN"/>
        </w:rPr>
        <w:t>主要原因是</w:t>
      </w:r>
      <w:r>
        <w:rPr>
          <w:rFonts w:hint="eastAsia" w:ascii="仿宋_GB2312" w:hAnsi="仿宋_GB2312" w:eastAsia="仿宋_GB2312" w:cs="仿宋_GB2312"/>
          <w:sz w:val="32"/>
          <w:szCs w:val="32"/>
        </w:rPr>
        <w:t>科学技术支出减少5.20万元，社会保障就业支出减少8.36万元。</w:t>
      </w:r>
    </w:p>
    <w:p>
      <w:pPr>
        <w:pStyle w:val="2"/>
        <w:spacing w:before="214" w:line="520" w:lineRule="exact"/>
        <w:ind w:right="113" w:firstLine="616" w:firstLineChars="200"/>
        <w:jc w:val="both"/>
        <w:rPr>
          <w:rFonts w:hint="eastAsia"/>
          <w:spacing w:val="-6"/>
        </w:rPr>
      </w:pP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pStyle w:val="2"/>
        <w:spacing w:before="2" w:line="520" w:lineRule="exact"/>
        <w:ind w:right="270" w:firstLine="693" w:firstLineChars="225"/>
        <w:jc w:val="both"/>
        <w:rPr>
          <w:rFonts w:hint="eastAsia"/>
          <w:spacing w:val="-6"/>
        </w:rPr>
      </w:pPr>
      <w:r>
        <w:rPr>
          <w:rFonts w:hint="eastAsia"/>
          <w:spacing w:val="-6"/>
          <w:lang w:eastAsia="zh-CN"/>
        </w:rPr>
        <w:tab/>
      </w:r>
      <w:r>
        <w:rPr>
          <w:rFonts w:hint="eastAsia" w:ascii="仿宋_GB2312" w:hAnsi="仿宋_GB2312" w:eastAsia="仿宋_GB2312" w:cs="仿宋_GB2312"/>
          <w:sz w:val="32"/>
          <w:szCs w:val="32"/>
        </w:rPr>
        <w:t>2017年度收入合计124.34万元，其中：财政拨款收入124.34万元，占100%</w:t>
      </w:r>
      <w:r>
        <w:rPr>
          <w:rFonts w:hint="eastAsia" w:cs="仿宋_GB2312"/>
          <w:sz w:val="32"/>
          <w:szCs w:val="32"/>
          <w:lang w:eastAsia="zh-CN"/>
        </w:rPr>
        <w:t>；</w:t>
      </w:r>
      <w:r>
        <w:rPr>
          <w:rFonts w:hint="eastAsia"/>
          <w:spacing w:val="-6"/>
        </w:rPr>
        <w:t>事业收入0万元，经营收入0万元，其他收入0万元。</w:t>
      </w:r>
    </w:p>
    <w:p>
      <w:pPr>
        <w:pStyle w:val="2"/>
        <w:tabs>
          <w:tab w:val="left" w:pos="665"/>
        </w:tabs>
        <w:spacing w:before="2" w:line="520" w:lineRule="exact"/>
        <w:ind w:right="270"/>
        <w:jc w:val="both"/>
        <w:rPr>
          <w:rFonts w:hint="eastAsia" w:eastAsia="仿宋_GB2312"/>
          <w:spacing w:val="-6"/>
          <w:lang w:eastAsia="zh-CN"/>
        </w:rPr>
      </w:pPr>
    </w:p>
    <w:p>
      <w:pPr>
        <w:pStyle w:val="2"/>
        <w:numPr>
          <w:ilvl w:val="0"/>
          <w:numId w:val="1"/>
        </w:numPr>
        <w:spacing w:before="2" w:line="520" w:lineRule="exact"/>
        <w:ind w:right="270" w:firstLine="720" w:firstLineChars="225"/>
        <w:jc w:val="both"/>
        <w:rPr>
          <w:rFonts w:ascii="黑体" w:hAnsi="黑体" w:eastAsia="黑体"/>
          <w:lang w:val="en-US"/>
        </w:rPr>
      </w:pPr>
      <w:r>
        <w:rPr>
          <w:rFonts w:hint="eastAsia" w:ascii="黑体" w:hAnsi="黑体" w:eastAsia="黑体"/>
          <w:lang w:val="en-US"/>
        </w:rPr>
        <w:t>支出决算情况说明</w:t>
      </w:r>
      <w:r>
        <w:rPr>
          <w:rFonts w:ascii="黑体" w:hAnsi="黑体" w:eastAsia="黑体"/>
          <w:lang w:val="en-US"/>
        </w:rPr>
        <w:t xml:space="preserve"> </w:t>
      </w:r>
    </w:p>
    <w:p>
      <w:pPr>
        <w:pStyle w:val="2"/>
        <w:numPr>
          <w:ilvl w:val="0"/>
          <w:numId w:val="0"/>
        </w:numPr>
        <w:spacing w:before="2" w:line="520" w:lineRule="exact"/>
        <w:ind w:right="270" w:rightChars="0"/>
        <w:jc w:val="both"/>
        <w:rPr>
          <w:rFonts w:hint="eastAsia" w:ascii="黑体" w:hAnsi="黑体" w:eastAsia="黑体"/>
          <w:lang w:val="en-US" w:eastAsia="zh-CN"/>
        </w:rPr>
      </w:pP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2017年度支出合计124.34万元，其中：基本支出124.34万元，占100%；项目支出0万元，占0%。</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2017年度财政拨款收</w:t>
      </w:r>
      <w:r>
        <w:rPr>
          <w:rFonts w:hint="eastAsia" w:cs="仿宋_GB2312"/>
          <w:sz w:val="32"/>
          <w:szCs w:val="32"/>
          <w:lang w:val="en-US" w:eastAsia="zh-CN"/>
        </w:rPr>
        <w:t>入为</w:t>
      </w:r>
      <w:r>
        <w:rPr>
          <w:rFonts w:hint="eastAsia" w:ascii="仿宋_GB2312" w:hAnsi="仿宋_GB2312" w:eastAsia="仿宋_GB2312" w:cs="仿宋_GB2312"/>
          <w:sz w:val="32"/>
          <w:szCs w:val="32"/>
        </w:rPr>
        <w:t>124.34万元。与2016年度相比，财政拨款收</w:t>
      </w:r>
      <w:r>
        <w:rPr>
          <w:rFonts w:hint="eastAsia" w:cs="仿宋_GB2312"/>
          <w:sz w:val="32"/>
          <w:szCs w:val="32"/>
          <w:lang w:val="en-US" w:eastAsia="zh-CN"/>
        </w:rPr>
        <w:t>入</w:t>
      </w:r>
      <w:r>
        <w:rPr>
          <w:rFonts w:hint="eastAsia" w:ascii="仿宋_GB2312" w:hAnsi="仿宋_GB2312" w:eastAsia="仿宋_GB2312" w:cs="仿宋_GB2312"/>
          <w:sz w:val="32"/>
          <w:szCs w:val="32"/>
        </w:rPr>
        <w:t>减少13.56万元，减少9.83%。2017 年财政拨款支出为</w:t>
      </w:r>
      <w:r>
        <w:rPr>
          <w:rFonts w:hint="eastAsia" w:cs="仿宋_GB2312"/>
          <w:sz w:val="32"/>
          <w:szCs w:val="32"/>
          <w:lang w:val="en-US" w:eastAsia="zh-CN"/>
        </w:rPr>
        <w:t>124.34</w:t>
      </w:r>
      <w:r>
        <w:rPr>
          <w:rFonts w:hint="eastAsia" w:ascii="仿宋_GB2312" w:hAnsi="仿宋_GB2312" w:eastAsia="仿宋_GB2312" w:cs="仿宋_GB2312"/>
          <w:sz w:val="32"/>
          <w:szCs w:val="32"/>
        </w:rPr>
        <w:t>万元。与 2016年相比，财政拨款支出减少13.56万元，减少9.83%。</w:t>
      </w:r>
      <w:r>
        <w:rPr>
          <w:rFonts w:hint="eastAsia" w:cs="仿宋_GB2312"/>
          <w:sz w:val="32"/>
          <w:szCs w:val="32"/>
          <w:lang w:val="en-US" w:eastAsia="zh-CN"/>
        </w:rPr>
        <w:t>主要原因</w:t>
      </w:r>
      <w:r>
        <w:rPr>
          <w:rFonts w:hint="eastAsia" w:ascii="仿宋_GB2312" w:hAnsi="仿宋_GB2312" w:eastAsia="仿宋_GB2312" w:cs="仿宋_GB2312"/>
          <w:sz w:val="32"/>
          <w:szCs w:val="32"/>
        </w:rPr>
        <w:t>：</w:t>
      </w:r>
      <w:r>
        <w:rPr>
          <w:rFonts w:hint="eastAsia" w:cs="仿宋_GB2312"/>
          <w:sz w:val="32"/>
          <w:szCs w:val="32"/>
          <w:lang w:val="en-US" w:eastAsia="zh-CN"/>
        </w:rPr>
        <w:t>一是</w:t>
      </w:r>
      <w:r>
        <w:rPr>
          <w:rFonts w:hint="eastAsia" w:ascii="仿宋_GB2312" w:hAnsi="仿宋_GB2312" w:eastAsia="仿宋_GB2312" w:cs="仿宋_GB2312"/>
          <w:sz w:val="32"/>
          <w:szCs w:val="32"/>
        </w:rPr>
        <w:t>科学技术普及减少5.20万元，</w:t>
      </w:r>
      <w:r>
        <w:rPr>
          <w:rFonts w:hint="eastAsia" w:cs="仿宋_GB2312"/>
          <w:sz w:val="32"/>
          <w:szCs w:val="32"/>
          <w:lang w:val="en-US" w:eastAsia="zh-CN"/>
        </w:rPr>
        <w:t>二是</w:t>
      </w:r>
      <w:r>
        <w:rPr>
          <w:rFonts w:hint="eastAsia" w:ascii="仿宋_GB2312" w:hAnsi="仿宋_GB2312" w:eastAsia="仿宋_GB2312" w:cs="仿宋_GB2312"/>
          <w:sz w:val="32"/>
          <w:szCs w:val="32"/>
        </w:rPr>
        <w:t>社会保障就业支出减少8.36万元。</w:t>
      </w:r>
    </w:p>
    <w:p>
      <w:pPr>
        <w:pStyle w:val="2"/>
        <w:spacing w:before="2" w:line="520" w:lineRule="exact"/>
        <w:ind w:right="270" w:firstLine="693" w:firstLineChars="225"/>
        <w:jc w:val="both"/>
        <w:rPr>
          <w:rFonts w:hint="eastAsia"/>
          <w:spacing w:val="-6"/>
        </w:rPr>
      </w:pP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pStyle w:val="2"/>
        <w:spacing w:before="2" w:line="520" w:lineRule="exact"/>
        <w:ind w:right="270" w:firstLine="696" w:firstLineChars="225"/>
        <w:jc w:val="both"/>
        <w:rPr>
          <w:b/>
          <w:spacing w:val="-6"/>
        </w:rPr>
      </w:pPr>
      <w:r>
        <w:rPr>
          <w:rFonts w:hint="eastAsia"/>
          <w:b/>
          <w:spacing w:val="-6"/>
        </w:rPr>
        <w:t>（一）总体情况</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2017年度一般公共预算财政拨款支出124.3</w:t>
      </w:r>
      <w:r>
        <w:rPr>
          <w:rFonts w:hint="eastAsia" w:cs="仿宋_GB2312"/>
          <w:sz w:val="32"/>
          <w:szCs w:val="32"/>
          <w:lang w:val="en-US" w:eastAsia="zh-CN"/>
        </w:rPr>
        <w:t>4万元，</w:t>
      </w:r>
      <w:r>
        <w:rPr>
          <w:rFonts w:hint="eastAsia" w:ascii="仿宋_GB2312" w:hAnsi="仿宋_GB2312" w:eastAsia="仿宋_GB2312" w:cs="仿宋_GB2312"/>
          <w:sz w:val="32"/>
          <w:szCs w:val="32"/>
        </w:rPr>
        <w:t>占支出合计的100%。与2016年度相比，一般公共预算财政拨款支出减少13.56万元</w:t>
      </w:r>
      <w:r>
        <w:rPr>
          <w:rFonts w:hint="eastAsia" w:cs="仿宋_GB2312"/>
          <w:sz w:val="32"/>
          <w:szCs w:val="32"/>
          <w:lang w:eastAsia="zh-CN"/>
        </w:rPr>
        <w:t>，</w:t>
      </w:r>
      <w:r>
        <w:rPr>
          <w:rFonts w:hint="eastAsia" w:ascii="仿宋_GB2312" w:hAnsi="仿宋_GB2312" w:eastAsia="仿宋_GB2312" w:cs="仿宋_GB2312"/>
          <w:sz w:val="32"/>
          <w:szCs w:val="32"/>
        </w:rPr>
        <w:t>减少9.83%。</w:t>
      </w:r>
      <w:r>
        <w:rPr>
          <w:rFonts w:hint="eastAsia" w:cs="仿宋_GB2312"/>
          <w:sz w:val="32"/>
          <w:szCs w:val="32"/>
          <w:lang w:val="en-US" w:eastAsia="zh-CN"/>
        </w:rPr>
        <w:t>主要原因是</w:t>
      </w:r>
      <w:r>
        <w:rPr>
          <w:rFonts w:hint="eastAsia" w:ascii="仿宋_GB2312" w:hAnsi="仿宋_GB2312" w:eastAsia="仿宋_GB2312" w:cs="仿宋_GB2312"/>
          <w:sz w:val="32"/>
          <w:szCs w:val="32"/>
        </w:rPr>
        <w:t>科学技术普及减少5.20万元，社会保障就业支出减少8.36万元。</w:t>
      </w:r>
    </w:p>
    <w:p>
      <w:pPr>
        <w:pStyle w:val="2"/>
        <w:spacing w:before="2" w:line="520" w:lineRule="exact"/>
        <w:ind w:right="270" w:firstLine="693" w:firstLineChars="225"/>
        <w:jc w:val="both"/>
        <w:rPr>
          <w:rFonts w:hint="eastAsia"/>
          <w:spacing w:val="-6"/>
        </w:rPr>
      </w:pPr>
    </w:p>
    <w:p>
      <w:pPr>
        <w:pStyle w:val="2"/>
        <w:spacing w:before="2" w:line="520" w:lineRule="exact"/>
        <w:ind w:right="270" w:firstLine="696" w:firstLineChars="225"/>
        <w:jc w:val="both"/>
        <w:rPr>
          <w:rFonts w:hint="eastAsia"/>
          <w:spacing w:val="-6"/>
        </w:rPr>
      </w:pPr>
      <w:r>
        <w:rPr>
          <w:rFonts w:hint="eastAsia"/>
          <w:b/>
          <w:spacing w:val="-6"/>
        </w:rPr>
        <w:t>（二）结构情况</w:t>
      </w:r>
    </w:p>
    <w:p>
      <w:pPr>
        <w:pStyle w:val="2"/>
        <w:spacing w:before="2" w:line="520" w:lineRule="exact"/>
        <w:ind w:right="270" w:firstLine="693" w:firstLineChars="225"/>
        <w:jc w:val="both"/>
        <w:rPr>
          <w:rFonts w:hint="eastAsia"/>
          <w:spacing w:val="-6"/>
        </w:rPr>
      </w:pPr>
      <w:r>
        <w:rPr>
          <w:rFonts w:hint="eastAsia"/>
          <w:spacing w:val="-6"/>
        </w:rPr>
        <w:t>2017年度一般公共预算财政拨款支出</w:t>
      </w:r>
      <w:r>
        <w:rPr>
          <w:rFonts w:hint="eastAsia"/>
          <w:spacing w:val="-6"/>
          <w:lang w:val="en-US" w:eastAsia="zh-CN"/>
        </w:rPr>
        <w:t>124.34</w:t>
      </w:r>
      <w:r>
        <w:rPr>
          <w:rFonts w:hint="eastAsia"/>
          <w:spacing w:val="-6"/>
        </w:rPr>
        <w:t>万元，主要用于以下方面：一般公共服务（类）支出</w:t>
      </w:r>
      <w:r>
        <w:rPr>
          <w:rFonts w:hint="eastAsia"/>
          <w:spacing w:val="-6"/>
          <w:lang w:val="en-US" w:eastAsia="zh-CN"/>
        </w:rPr>
        <w:t>124.34</w:t>
      </w:r>
      <w:r>
        <w:rPr>
          <w:rFonts w:hint="eastAsia"/>
          <w:spacing w:val="-6"/>
        </w:rPr>
        <w:t>万元，占100%</w:t>
      </w:r>
    </w:p>
    <w:p>
      <w:pPr>
        <w:pStyle w:val="2"/>
        <w:spacing w:before="2" w:line="520" w:lineRule="exact"/>
        <w:ind w:right="270" w:firstLine="696" w:firstLineChars="225"/>
        <w:jc w:val="both"/>
        <w:rPr>
          <w:spacing w:val="-6"/>
        </w:rPr>
      </w:pPr>
      <w:r>
        <w:rPr>
          <w:rFonts w:hint="eastAsia"/>
          <w:b/>
          <w:spacing w:val="-6"/>
        </w:rPr>
        <w:t>（三）具体情况</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2017年度一般公共预算财政拨款支出年初预算为</w:t>
      </w:r>
      <w:r>
        <w:rPr>
          <w:rFonts w:hint="eastAsia" w:cs="仿宋_GB2312"/>
          <w:color w:val="auto"/>
          <w:sz w:val="32"/>
          <w:szCs w:val="32"/>
          <w:highlight w:val="none"/>
          <w:lang w:val="en-US" w:eastAsia="zh-CN"/>
        </w:rPr>
        <w:t>89.66</w:t>
      </w:r>
      <w:r>
        <w:rPr>
          <w:rFonts w:hint="eastAsia" w:ascii="仿宋_GB2312" w:hAnsi="仿宋_GB2312" w:eastAsia="仿宋_GB2312" w:cs="仿宋_GB2312"/>
          <w:color w:val="auto"/>
          <w:sz w:val="32"/>
          <w:szCs w:val="32"/>
          <w:highlight w:val="none"/>
          <w:lang w:val="en-US" w:eastAsia="zh-CN"/>
        </w:rPr>
        <w:t>万元，支出决算为</w:t>
      </w:r>
      <w:r>
        <w:rPr>
          <w:rFonts w:hint="eastAsia" w:cs="仿宋_GB2312"/>
          <w:color w:val="auto"/>
          <w:sz w:val="32"/>
          <w:szCs w:val="32"/>
          <w:highlight w:val="none"/>
          <w:lang w:val="en-US" w:eastAsia="zh-CN"/>
        </w:rPr>
        <w:t>124.34</w:t>
      </w:r>
      <w:r>
        <w:rPr>
          <w:rFonts w:hint="eastAsia" w:ascii="仿宋_GB2312" w:hAnsi="仿宋_GB2312" w:eastAsia="仿宋_GB2312" w:cs="仿宋_GB2312"/>
          <w:color w:val="auto"/>
          <w:sz w:val="32"/>
          <w:szCs w:val="32"/>
          <w:highlight w:val="none"/>
          <w:lang w:val="en-US" w:eastAsia="zh-CN"/>
        </w:rPr>
        <w:t>万元，完成年初预算的</w:t>
      </w:r>
      <w:r>
        <w:rPr>
          <w:rFonts w:hint="eastAsia" w:cs="仿宋_GB2312"/>
          <w:color w:val="auto"/>
          <w:sz w:val="32"/>
          <w:szCs w:val="32"/>
          <w:highlight w:val="none"/>
          <w:lang w:val="en-US" w:eastAsia="zh-CN"/>
        </w:rPr>
        <w:t>139</w:t>
      </w:r>
      <w:r>
        <w:rPr>
          <w:rFonts w:hint="eastAsia" w:ascii="仿宋_GB2312" w:hAnsi="仿宋_GB2312" w:eastAsia="仿宋_GB2312" w:cs="仿宋_GB2312"/>
          <w:color w:val="auto"/>
          <w:sz w:val="32"/>
          <w:szCs w:val="32"/>
          <w:highlight w:val="none"/>
          <w:lang w:val="en-US" w:eastAsia="zh-CN"/>
        </w:rPr>
        <w:t>%。决算数与年初预算数存在差异的主要原因：一是</w:t>
      </w:r>
      <w:r>
        <w:rPr>
          <w:rFonts w:hint="eastAsia" w:cs="仿宋_GB2312"/>
          <w:color w:val="auto"/>
          <w:sz w:val="32"/>
          <w:szCs w:val="32"/>
          <w:highlight w:val="none"/>
          <w:lang w:val="en-US" w:eastAsia="zh-CN"/>
        </w:rPr>
        <w:t>科学技术</w:t>
      </w:r>
      <w:r>
        <w:rPr>
          <w:rFonts w:hint="eastAsia" w:ascii="仿宋_GB2312" w:hAnsi="仿宋_GB2312" w:eastAsia="仿宋_GB2312" w:cs="仿宋_GB2312"/>
          <w:color w:val="auto"/>
          <w:sz w:val="32"/>
          <w:szCs w:val="32"/>
          <w:highlight w:val="none"/>
          <w:lang w:val="en-US" w:eastAsia="zh-CN"/>
        </w:rPr>
        <w:t>经费支出增加</w:t>
      </w:r>
      <w:r>
        <w:rPr>
          <w:rFonts w:hint="eastAsia" w:cs="仿宋_GB2312"/>
          <w:color w:val="auto"/>
          <w:sz w:val="32"/>
          <w:szCs w:val="32"/>
          <w:highlight w:val="none"/>
          <w:lang w:val="en-US" w:eastAsia="zh-CN"/>
        </w:rPr>
        <w:t>43.68</w:t>
      </w:r>
      <w:r>
        <w:rPr>
          <w:rFonts w:hint="eastAsia" w:ascii="仿宋_GB2312" w:hAnsi="仿宋_GB2312" w:eastAsia="仿宋_GB2312" w:cs="仿宋_GB2312"/>
          <w:color w:val="auto"/>
          <w:sz w:val="32"/>
          <w:szCs w:val="32"/>
          <w:highlight w:val="none"/>
          <w:lang w:val="en-US" w:eastAsia="zh-CN"/>
        </w:rPr>
        <w:t>万元，二是社会保障</w:t>
      </w:r>
      <w:r>
        <w:rPr>
          <w:rFonts w:hint="eastAsia" w:cs="仿宋_GB2312"/>
          <w:color w:val="auto"/>
          <w:sz w:val="32"/>
          <w:szCs w:val="32"/>
          <w:highlight w:val="none"/>
          <w:lang w:val="en-US" w:eastAsia="zh-CN"/>
        </w:rPr>
        <w:t>和就业</w:t>
      </w:r>
      <w:r>
        <w:rPr>
          <w:rFonts w:hint="eastAsia" w:ascii="仿宋_GB2312" w:hAnsi="仿宋_GB2312" w:eastAsia="仿宋_GB2312" w:cs="仿宋_GB2312"/>
          <w:color w:val="auto"/>
          <w:sz w:val="32"/>
          <w:szCs w:val="32"/>
          <w:highlight w:val="none"/>
          <w:lang w:val="en-US" w:eastAsia="zh-CN"/>
        </w:rPr>
        <w:t>支出</w:t>
      </w:r>
      <w:r>
        <w:rPr>
          <w:rFonts w:hint="eastAsia" w:cs="仿宋_GB2312"/>
          <w:color w:val="auto"/>
          <w:sz w:val="32"/>
          <w:szCs w:val="32"/>
          <w:highlight w:val="none"/>
          <w:lang w:val="en-US" w:eastAsia="zh-CN"/>
        </w:rPr>
        <w:t>减少9</w:t>
      </w:r>
      <w:r>
        <w:rPr>
          <w:rFonts w:hint="eastAsia" w:ascii="仿宋_GB2312" w:hAnsi="仿宋_GB2312" w:eastAsia="仿宋_GB2312" w:cs="仿宋_GB2312"/>
          <w:color w:val="auto"/>
          <w:sz w:val="32"/>
          <w:szCs w:val="32"/>
          <w:highlight w:val="none"/>
          <w:lang w:val="en-US" w:eastAsia="zh-CN"/>
        </w:rPr>
        <w:t>万元。</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1.</w:t>
      </w:r>
      <w:r>
        <w:rPr>
          <w:rFonts w:hint="eastAsia" w:cs="仿宋_GB2312"/>
          <w:b/>
          <w:bCs/>
          <w:color w:val="auto"/>
          <w:sz w:val="32"/>
          <w:szCs w:val="32"/>
          <w:highlight w:val="none"/>
          <w:lang w:val="en-US" w:eastAsia="zh-CN"/>
        </w:rPr>
        <w:t>科学技术支出</w:t>
      </w:r>
      <w:r>
        <w:rPr>
          <w:rFonts w:hint="eastAsia" w:ascii="仿宋_GB2312" w:hAnsi="仿宋_GB2312" w:eastAsia="仿宋_GB2312" w:cs="仿宋_GB2312"/>
          <w:b/>
          <w:bCs/>
          <w:color w:val="auto"/>
          <w:sz w:val="32"/>
          <w:szCs w:val="32"/>
          <w:highlight w:val="none"/>
          <w:lang w:val="en-US" w:eastAsia="zh-CN"/>
        </w:rPr>
        <w:t>（类）</w:t>
      </w:r>
      <w:r>
        <w:rPr>
          <w:rFonts w:hint="eastAsia" w:cs="仿宋_GB2312"/>
          <w:b/>
          <w:bCs/>
          <w:color w:val="auto"/>
          <w:sz w:val="32"/>
          <w:szCs w:val="32"/>
          <w:highlight w:val="none"/>
          <w:lang w:val="en-US" w:eastAsia="zh-CN"/>
        </w:rPr>
        <w:t>科学技术普及</w:t>
      </w:r>
      <w:r>
        <w:rPr>
          <w:rFonts w:hint="eastAsia" w:ascii="仿宋_GB2312" w:hAnsi="仿宋_GB2312" w:eastAsia="仿宋_GB2312" w:cs="仿宋_GB2312"/>
          <w:b/>
          <w:bCs/>
          <w:color w:val="auto"/>
          <w:sz w:val="32"/>
          <w:szCs w:val="32"/>
          <w:highlight w:val="none"/>
          <w:lang w:val="en-US" w:eastAsia="zh-CN"/>
        </w:rPr>
        <w:t>（款）</w:t>
      </w:r>
      <w:r>
        <w:rPr>
          <w:rFonts w:hint="eastAsia" w:cs="仿宋_GB2312"/>
          <w:b/>
          <w:bCs/>
          <w:color w:val="auto"/>
          <w:sz w:val="32"/>
          <w:szCs w:val="32"/>
          <w:highlight w:val="none"/>
          <w:lang w:val="en-US" w:eastAsia="zh-CN"/>
        </w:rPr>
        <w:t>机构运行及科普活动</w:t>
      </w:r>
      <w:r>
        <w:rPr>
          <w:rFonts w:hint="eastAsia" w:ascii="仿宋_GB2312" w:hAnsi="仿宋_GB2312" w:eastAsia="仿宋_GB2312" w:cs="仿宋_GB2312"/>
          <w:b/>
          <w:bCs/>
          <w:color w:val="auto"/>
          <w:sz w:val="32"/>
          <w:szCs w:val="32"/>
          <w:highlight w:val="none"/>
          <w:lang w:val="en-US" w:eastAsia="zh-CN"/>
        </w:rPr>
        <w:t>（项）。</w:t>
      </w:r>
      <w:r>
        <w:rPr>
          <w:rFonts w:hint="eastAsia" w:ascii="仿宋_GB2312" w:hAnsi="仿宋_GB2312" w:eastAsia="仿宋_GB2312" w:cs="仿宋_GB2312"/>
          <w:color w:val="auto"/>
          <w:sz w:val="32"/>
          <w:szCs w:val="32"/>
          <w:highlight w:val="none"/>
          <w:lang w:val="en-US" w:eastAsia="zh-CN"/>
        </w:rPr>
        <w:t>年初预算为</w:t>
      </w:r>
      <w:r>
        <w:rPr>
          <w:rFonts w:hint="eastAsia" w:cs="仿宋_GB2312"/>
          <w:color w:val="auto"/>
          <w:sz w:val="32"/>
          <w:szCs w:val="32"/>
          <w:highlight w:val="none"/>
          <w:lang w:val="en-US" w:eastAsia="zh-CN"/>
        </w:rPr>
        <w:t>67.92</w:t>
      </w:r>
      <w:r>
        <w:rPr>
          <w:rFonts w:hint="eastAsia" w:ascii="仿宋_GB2312" w:hAnsi="仿宋_GB2312" w:eastAsia="仿宋_GB2312" w:cs="仿宋_GB2312"/>
          <w:color w:val="auto"/>
          <w:sz w:val="32"/>
          <w:szCs w:val="32"/>
          <w:highlight w:val="none"/>
          <w:lang w:val="en-US" w:eastAsia="zh-CN"/>
        </w:rPr>
        <w:t>万元，支出决算为</w:t>
      </w:r>
      <w:r>
        <w:rPr>
          <w:rFonts w:hint="eastAsia" w:cs="仿宋_GB2312"/>
          <w:color w:val="auto"/>
          <w:sz w:val="32"/>
          <w:szCs w:val="32"/>
          <w:highlight w:val="none"/>
          <w:lang w:val="en-US" w:eastAsia="zh-CN"/>
        </w:rPr>
        <w:t>111.6</w:t>
      </w:r>
      <w:r>
        <w:rPr>
          <w:rFonts w:hint="eastAsia" w:ascii="仿宋_GB2312" w:hAnsi="仿宋_GB2312" w:eastAsia="仿宋_GB2312" w:cs="仿宋_GB2312"/>
          <w:color w:val="auto"/>
          <w:sz w:val="32"/>
          <w:szCs w:val="32"/>
          <w:highlight w:val="none"/>
          <w:lang w:val="en-US" w:eastAsia="zh-CN"/>
        </w:rPr>
        <w:t>万元，完成年初预算的</w:t>
      </w:r>
      <w:r>
        <w:rPr>
          <w:rFonts w:hint="eastAsia" w:cs="仿宋_GB2312"/>
          <w:color w:val="auto"/>
          <w:sz w:val="32"/>
          <w:szCs w:val="32"/>
          <w:highlight w:val="none"/>
          <w:lang w:val="en-US" w:eastAsia="zh-CN"/>
        </w:rPr>
        <w:t>164</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sz w:val="32"/>
          <w:szCs w:val="32"/>
        </w:rPr>
        <w:t>决算数与年初预算数存在差异的主要原因是</w:t>
      </w:r>
      <w:r>
        <w:rPr>
          <w:rFonts w:hint="eastAsia" w:cs="仿宋_GB2312"/>
          <w:sz w:val="32"/>
          <w:szCs w:val="32"/>
          <w:lang w:eastAsia="zh-CN"/>
        </w:rPr>
        <w:t>追加预算</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2．</w:t>
      </w:r>
      <w:r>
        <w:rPr>
          <w:rFonts w:hint="eastAsia" w:cs="仿宋_GB2312"/>
          <w:b/>
          <w:bCs/>
          <w:color w:val="auto"/>
          <w:sz w:val="32"/>
          <w:szCs w:val="32"/>
          <w:highlight w:val="none"/>
          <w:lang w:val="en-US" w:eastAsia="zh-CN"/>
        </w:rPr>
        <w:t>社会保障和就业支出</w:t>
      </w:r>
      <w:r>
        <w:rPr>
          <w:rFonts w:hint="eastAsia" w:ascii="仿宋_GB2312" w:hAnsi="仿宋_GB2312" w:eastAsia="仿宋_GB2312" w:cs="仿宋_GB2312"/>
          <w:b/>
          <w:bCs/>
          <w:color w:val="auto"/>
          <w:sz w:val="32"/>
          <w:szCs w:val="32"/>
          <w:highlight w:val="none"/>
          <w:lang w:val="en-US" w:eastAsia="zh-CN"/>
        </w:rPr>
        <w:t>（类）</w:t>
      </w:r>
      <w:r>
        <w:rPr>
          <w:rFonts w:hint="eastAsia" w:cs="仿宋_GB2312"/>
          <w:b/>
          <w:bCs/>
          <w:color w:val="auto"/>
          <w:sz w:val="32"/>
          <w:szCs w:val="32"/>
          <w:highlight w:val="none"/>
          <w:lang w:val="en-US" w:eastAsia="zh-CN"/>
        </w:rPr>
        <w:t>行政事业单位离退休</w:t>
      </w:r>
      <w:r>
        <w:rPr>
          <w:rFonts w:hint="eastAsia" w:ascii="仿宋_GB2312" w:hAnsi="仿宋_GB2312" w:eastAsia="仿宋_GB2312" w:cs="仿宋_GB2312"/>
          <w:b/>
          <w:bCs/>
          <w:color w:val="auto"/>
          <w:sz w:val="32"/>
          <w:szCs w:val="32"/>
          <w:highlight w:val="none"/>
          <w:lang w:val="en-US" w:eastAsia="zh-CN"/>
        </w:rPr>
        <w:t>（款）</w:t>
      </w:r>
      <w:r>
        <w:rPr>
          <w:rFonts w:hint="eastAsia" w:cs="仿宋_GB2312"/>
          <w:b/>
          <w:bCs/>
          <w:color w:val="auto"/>
          <w:sz w:val="32"/>
          <w:szCs w:val="32"/>
          <w:highlight w:val="none"/>
          <w:lang w:val="en-US" w:eastAsia="zh-CN"/>
        </w:rPr>
        <w:t>归口管理的行政单位离退休及机关事业单位基本养老保险缴费支出</w:t>
      </w:r>
      <w:r>
        <w:rPr>
          <w:rFonts w:hint="eastAsia" w:ascii="仿宋_GB2312" w:hAnsi="仿宋_GB2312" w:eastAsia="仿宋_GB2312" w:cs="仿宋_GB2312"/>
          <w:b/>
          <w:bCs/>
          <w:color w:val="auto"/>
          <w:sz w:val="32"/>
          <w:szCs w:val="32"/>
          <w:highlight w:val="none"/>
          <w:lang w:val="en-US" w:eastAsia="zh-CN"/>
        </w:rPr>
        <w:t>（项）。</w:t>
      </w:r>
      <w:r>
        <w:rPr>
          <w:rFonts w:hint="eastAsia" w:ascii="仿宋_GB2312" w:hAnsi="仿宋_GB2312" w:eastAsia="仿宋_GB2312" w:cs="仿宋_GB2312"/>
          <w:sz w:val="32"/>
          <w:szCs w:val="32"/>
        </w:rPr>
        <w:t>年初预算为</w:t>
      </w:r>
      <w:r>
        <w:rPr>
          <w:rFonts w:hint="eastAsia" w:cs="仿宋_GB2312"/>
          <w:sz w:val="32"/>
          <w:szCs w:val="32"/>
          <w:lang w:val="en-US" w:eastAsia="zh-CN"/>
        </w:rPr>
        <w:t>21.74</w:t>
      </w:r>
      <w:r>
        <w:rPr>
          <w:rFonts w:hint="eastAsia" w:ascii="仿宋_GB2312" w:hAnsi="仿宋_GB2312" w:eastAsia="仿宋_GB2312" w:cs="仿宋_GB2312"/>
          <w:sz w:val="32"/>
          <w:szCs w:val="32"/>
        </w:rPr>
        <w:t>万元，支出决算为</w:t>
      </w:r>
      <w:r>
        <w:rPr>
          <w:rFonts w:hint="eastAsia" w:cs="仿宋_GB2312"/>
          <w:sz w:val="32"/>
          <w:szCs w:val="32"/>
          <w:lang w:val="en-US" w:eastAsia="zh-CN"/>
        </w:rPr>
        <w:t>12.74</w:t>
      </w:r>
      <w:r>
        <w:rPr>
          <w:rFonts w:hint="eastAsia" w:ascii="仿宋_GB2312" w:hAnsi="仿宋_GB2312" w:eastAsia="仿宋_GB2312" w:cs="仿宋_GB2312"/>
          <w:sz w:val="32"/>
          <w:szCs w:val="32"/>
        </w:rPr>
        <w:t>万元，完成年初预算的</w:t>
      </w:r>
      <w:r>
        <w:rPr>
          <w:rFonts w:hint="eastAsia" w:cs="仿宋_GB2312"/>
          <w:sz w:val="32"/>
          <w:szCs w:val="32"/>
          <w:lang w:val="en-US" w:eastAsia="zh-CN"/>
        </w:rPr>
        <w:t>58.6</w:t>
      </w:r>
      <w:r>
        <w:rPr>
          <w:rFonts w:hint="eastAsia" w:ascii="仿宋_GB2312" w:hAnsi="仿宋_GB2312" w:eastAsia="仿宋_GB2312" w:cs="仿宋_GB2312"/>
          <w:sz w:val="32"/>
          <w:szCs w:val="32"/>
        </w:rPr>
        <w:t>%。决算数与年初预算数存在差异的主要原因是</w:t>
      </w:r>
      <w:r>
        <w:rPr>
          <w:rFonts w:hint="eastAsia" w:cs="仿宋_GB2312"/>
          <w:sz w:val="32"/>
          <w:szCs w:val="32"/>
          <w:lang w:eastAsia="zh-CN"/>
        </w:rPr>
        <w:t>退休人员去世</w:t>
      </w:r>
      <w:r>
        <w:rPr>
          <w:rFonts w:hint="eastAsia" w:cs="仿宋_GB2312"/>
          <w:sz w:val="32"/>
          <w:szCs w:val="32"/>
          <w:lang w:val="en-US" w:eastAsia="zh-CN"/>
        </w:rPr>
        <w:t>1人</w:t>
      </w:r>
      <w:r>
        <w:rPr>
          <w:rFonts w:hint="eastAsia" w:ascii="仿宋_GB2312" w:hAnsi="仿宋_GB2312" w:eastAsia="仿宋_GB2312" w:cs="仿宋_GB2312"/>
          <w:color w:val="auto"/>
          <w:sz w:val="32"/>
          <w:szCs w:val="32"/>
          <w:highlight w:val="none"/>
          <w:lang w:val="en-US" w:eastAsia="zh-CN"/>
        </w:rPr>
        <w:t>。</w:t>
      </w:r>
    </w:p>
    <w:p>
      <w:pPr>
        <w:widowControl/>
        <w:spacing w:line="590" w:lineRule="exact"/>
        <w:ind w:firstLine="640" w:firstLineChars="200"/>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bookmarkStart w:id="0" w:name="_GoBack"/>
      <w:bookmarkEnd w:id="0"/>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六、一般公共预算财政拨款基本支出决算情况说明</w:t>
      </w:r>
      <w:r>
        <w:rPr>
          <w:rFonts w:ascii="黑体" w:hAnsi="黑体" w:eastAsia="黑体"/>
          <w:lang w:val="en-US"/>
        </w:rPr>
        <w:t xml:space="preserve"> </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rPr>
        <w:t>2017年度一般公共预算财政拨款基本支出124.34万元。与2016年度相比，减少13.56万元，减少9.83%。主要原因是工资福利、社会保障及科学技术普及支出减少。其中：人员经费51.23万元，主要包括：基本工资、津贴补贴、伙食补助费、绩效工资、机关事业单位基本养老保险缴费、职业年金缴费、其他社会保障缴费、其他工资福利支出、离休费、退休费、抚恤金、生活补助、医疗费、奖励金、住房公积金、采暖补贴、物业服务补贴、其他对个人和家庭的补助支出；公用经费73.11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其他资本性支出。</w:t>
      </w:r>
    </w:p>
    <w:p>
      <w:pPr>
        <w:pStyle w:val="2"/>
        <w:spacing w:before="2" w:line="520" w:lineRule="exact"/>
        <w:ind w:right="270" w:firstLine="720" w:firstLineChars="225"/>
        <w:jc w:val="both"/>
        <w:rPr>
          <w:lang w:val="en-US"/>
        </w:rPr>
      </w:pPr>
    </w:p>
    <w:p>
      <w:pPr>
        <w:pStyle w:val="2"/>
        <w:spacing w:before="2" w:line="520" w:lineRule="exact"/>
        <w:ind w:right="270" w:firstLine="630" w:firstLineChars="225"/>
        <w:jc w:val="both"/>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pStyle w:val="2"/>
        <w:spacing w:before="2" w:line="520" w:lineRule="exact"/>
        <w:ind w:right="270" w:firstLine="723" w:firstLineChars="225"/>
        <w:jc w:val="both"/>
        <w:rPr>
          <w:lang w:val="en-US"/>
        </w:rPr>
      </w:pPr>
      <w:r>
        <w:rPr>
          <w:rFonts w:hint="eastAsia"/>
          <w:b/>
          <w:lang w:val="en-US"/>
        </w:rPr>
        <w:t>（一）“三公”经费财政拨款支出决算总体情况说明。</w:t>
      </w:r>
      <w:r>
        <w:rPr>
          <w:b/>
          <w:lang w:val="en-US"/>
        </w:rPr>
        <w:t xml:space="preserve"> </w:t>
      </w:r>
    </w:p>
    <w:p>
      <w:pPr>
        <w:pStyle w:val="2"/>
        <w:spacing w:before="2" w:line="520" w:lineRule="exact"/>
        <w:ind w:right="270" w:firstLine="720" w:firstLineChars="225"/>
        <w:jc w:val="both"/>
        <w:rPr>
          <w:rFonts w:hint="eastAsia"/>
          <w:lang w:val="en-US" w:eastAsia="zh-CN"/>
        </w:rPr>
      </w:pPr>
      <w:r>
        <w:rPr>
          <w:rFonts w:hint="eastAsia" w:ascii="仿宋_GB2312" w:hAnsi="仿宋_GB2312" w:eastAsia="仿宋_GB2312" w:cs="仿宋_GB2312"/>
          <w:sz w:val="32"/>
          <w:szCs w:val="32"/>
        </w:rPr>
        <w:t>2017年度“三公”经费财政拨款支出预算为2.26万元，支出决算为2.11万元，完成预算的93.36%。2017年度“三公”经费支出决算数与预算数存在差异的主要原因是公务用车运行费用减少和招待费减少</w:t>
      </w:r>
      <w:r>
        <w:rPr>
          <w:rFonts w:hint="eastAsia" w:cs="仿宋_GB2312"/>
          <w:sz w:val="32"/>
          <w:szCs w:val="32"/>
          <w:lang w:eastAsia="zh-CN"/>
        </w:rPr>
        <w:t>，</w:t>
      </w:r>
      <w:r>
        <w:rPr>
          <w:rFonts w:hint="eastAsia"/>
          <w:lang w:val="en-US" w:eastAsia="zh-CN"/>
        </w:rPr>
        <w:t>是</w:t>
      </w:r>
      <w:r>
        <w:rPr>
          <w:rFonts w:hint="eastAsia"/>
          <w:lang w:val="en-US"/>
        </w:rPr>
        <w:t>认真贯彻落实中央八项规定精神，坚持厉行节约，进一步规范公务接待，强化公务用车管理，严格控制“三公”经费支出</w:t>
      </w:r>
      <w:r>
        <w:rPr>
          <w:rFonts w:hint="eastAsia"/>
          <w:lang w:val="en-US" w:eastAsia="zh-CN"/>
        </w:rPr>
        <w:t>。</w:t>
      </w:r>
    </w:p>
    <w:p>
      <w:pPr>
        <w:pStyle w:val="2"/>
        <w:spacing w:before="2" w:line="520" w:lineRule="exact"/>
        <w:ind w:right="270" w:firstLine="723" w:firstLineChars="225"/>
        <w:jc w:val="both"/>
        <w:rPr>
          <w:b/>
          <w:lang w:val="en-US"/>
        </w:rPr>
      </w:pPr>
      <w:r>
        <w:rPr>
          <w:rFonts w:hint="eastAsia"/>
          <w:b/>
          <w:lang w:val="en-US"/>
        </w:rPr>
        <w:t>（二）“三公”经费财政拨款支出决算具体情况说明。</w:t>
      </w:r>
      <w:r>
        <w:rPr>
          <w:b/>
          <w:lang w:val="en-US"/>
        </w:rPr>
        <w:t xml:space="preserve"> </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三公”经费财政拨款支出决算中，因公出国（境）费支出决算0万元，完成预算的0%，占0%；公务用车购置及运行费支出决算2万元，完成预算的93.45%，占94.79%；公务接待费支出决算0.11万元，完成预算的91.67%，占5.21%。具体情况如下：</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1．因公出国（境）费支出0万元。全年安排局机关单位因公出国（境）团组0个，累计0人次，开支为0万元。</w:t>
      </w:r>
    </w:p>
    <w:p>
      <w:pPr>
        <w:widowControl/>
        <w:spacing w:line="59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因公出国（境）费支出决算比2016年度增加0万元，增长0%,主要原因是没有出国业务。</w:t>
      </w:r>
    </w:p>
    <w:p>
      <w:pPr>
        <w:widowControl/>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2．公务用车购置及运行费支出2万元。主要是开展科普活动公务用车运行维护费支出。</w:t>
      </w:r>
      <w:r>
        <w:rPr>
          <w:rFonts w:hint="eastAsia" w:cs="仿宋_GB2312"/>
          <w:sz w:val="32"/>
          <w:szCs w:val="32"/>
          <w:lang w:eastAsia="zh-CN"/>
        </w:rPr>
        <w:t>公车保有量为</w:t>
      </w:r>
      <w:r>
        <w:rPr>
          <w:rFonts w:hint="eastAsia" w:cs="仿宋_GB2312"/>
          <w:sz w:val="32"/>
          <w:szCs w:val="32"/>
          <w:lang w:val="en-US" w:eastAsia="zh-CN"/>
        </w:rPr>
        <w:t>1辆。</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公务用车购置及运行费支出决算比2016年度增加0.70万元，增加53.84%,主要原因开展科普活动公务用车运行维护费支出。</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3.公务接待费支出0.11万元，其中国内公务接待支出0万元。主要用于公务接待。</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公务接待费支出决算比2016年增加0.01万元，增长10%,主要原因是用于公务接待</w:t>
      </w:r>
      <w:r>
        <w:rPr>
          <w:rFonts w:hint="eastAsia" w:ascii="仿宋_GB2312" w:hAnsi="仿宋_GB2312" w:eastAsia="仿宋_GB2312" w:cs="仿宋_GB2312"/>
          <w:color w:val="auto"/>
          <w:sz w:val="32"/>
          <w:szCs w:val="32"/>
          <w:highlight w:val="none"/>
          <w:lang w:val="en-US" w:eastAsia="zh-CN"/>
        </w:rPr>
        <w:t>，共接待</w:t>
      </w:r>
      <w:r>
        <w:rPr>
          <w:rFonts w:hint="eastAsia" w:cs="仿宋_GB2312"/>
          <w:color w:val="auto"/>
          <w:sz w:val="32"/>
          <w:szCs w:val="32"/>
          <w:highlight w:val="none"/>
          <w:lang w:val="en-US" w:eastAsia="zh-CN"/>
        </w:rPr>
        <w:t>32</w:t>
      </w:r>
      <w:r>
        <w:rPr>
          <w:rFonts w:hint="eastAsia" w:ascii="仿宋_GB2312" w:hAnsi="仿宋_GB2312" w:eastAsia="仿宋_GB2312" w:cs="仿宋_GB2312"/>
          <w:color w:val="auto"/>
          <w:sz w:val="32"/>
          <w:szCs w:val="32"/>
          <w:highlight w:val="none"/>
          <w:lang w:val="en-US" w:eastAsia="zh-CN"/>
        </w:rPr>
        <w:t>人次、</w:t>
      </w:r>
      <w:r>
        <w:rPr>
          <w:rFonts w:hint="eastAsia"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lang w:val="en-US" w:eastAsia="zh-CN"/>
        </w:rPr>
        <w:t>批。</w:t>
      </w:r>
    </w:p>
    <w:p>
      <w:pPr>
        <w:pStyle w:val="2"/>
        <w:spacing w:before="2" w:line="520" w:lineRule="exact"/>
        <w:ind w:right="270" w:firstLine="720" w:firstLineChars="225"/>
        <w:jc w:val="both"/>
        <w:rPr>
          <w:rFonts w:hint="eastAsia" w:ascii="仿宋_GB2312" w:hAnsi="仿宋_GB2312" w:eastAsia="仿宋_GB2312" w:cs="仿宋_GB2312"/>
          <w:color w:val="auto"/>
          <w:sz w:val="32"/>
          <w:szCs w:val="32"/>
          <w:highlight w:val="none"/>
          <w:lang w:val="en-US" w:eastAsia="zh-CN"/>
        </w:rPr>
      </w:pPr>
    </w:p>
    <w:p>
      <w:pPr>
        <w:pStyle w:val="2"/>
        <w:spacing w:before="2" w:line="520" w:lineRule="exact"/>
        <w:ind w:right="270" w:firstLine="720" w:firstLineChars="225"/>
        <w:jc w:val="both"/>
        <w:rPr>
          <w:rFonts w:hint="eastAsia" w:ascii="仿宋_GB2312" w:hAnsi="仿宋_GB2312" w:eastAsia="仿宋_GB2312" w:cs="仿宋_GB2312"/>
          <w:color w:val="auto"/>
          <w:sz w:val="32"/>
          <w:szCs w:val="32"/>
          <w:highlight w:val="none"/>
          <w:lang w:val="en-US" w:eastAsia="zh-CN"/>
        </w:rPr>
      </w:pPr>
    </w:p>
    <w:p>
      <w:pPr>
        <w:pStyle w:val="2"/>
        <w:spacing w:before="2" w:line="520" w:lineRule="exact"/>
        <w:ind w:right="270" w:firstLine="720" w:firstLineChars="225"/>
        <w:jc w:val="both"/>
        <w:rPr>
          <w:rFonts w:hint="eastAsia" w:ascii="黑体" w:hAnsi="黑体" w:eastAsia="黑体"/>
          <w:lang w:val="en-US"/>
        </w:rPr>
      </w:pPr>
      <w:r>
        <w:rPr>
          <w:rFonts w:hint="eastAsia" w:ascii="黑体" w:hAnsi="黑体" w:eastAsia="黑体"/>
          <w:lang w:val="en-US"/>
        </w:rPr>
        <w:t>八、</w:t>
      </w:r>
      <w:r>
        <w:rPr>
          <w:rFonts w:hint="eastAsia" w:ascii="黑体" w:hAnsi="黑体" w:eastAsia="黑体"/>
          <w:lang w:val="en-US" w:eastAsia="zh-CN"/>
        </w:rPr>
        <w:t>重点绩效评价结果等</w:t>
      </w:r>
      <w:r>
        <w:rPr>
          <w:rFonts w:hint="eastAsia" w:ascii="黑体" w:hAnsi="黑体" w:eastAsia="黑体"/>
          <w:lang w:val="en-US"/>
        </w:rPr>
        <w:t xml:space="preserve">预算绩效情况说明 </w:t>
      </w:r>
    </w:p>
    <w:p>
      <w:pPr>
        <w:pStyle w:val="2"/>
        <w:spacing w:before="2" w:line="520" w:lineRule="exact"/>
        <w:ind w:right="270" w:firstLine="720" w:firstLineChars="225"/>
        <w:jc w:val="both"/>
        <w:rPr>
          <w:rFonts w:hint="eastAsia"/>
          <w:lang w:val="en-US"/>
        </w:rPr>
      </w:pPr>
      <w:r>
        <w:rPr>
          <w:rFonts w:hint="eastAsia"/>
          <w:lang w:val="en-US" w:eastAsia="zh-CN"/>
        </w:rPr>
        <w:t>（一</w:t>
      </w:r>
      <w:r>
        <w:rPr>
          <w:rFonts w:hint="eastAsia"/>
          <w:lang w:val="en-US"/>
        </w:rPr>
        <w:t>）绩效管理工作开展情况。</w:t>
      </w:r>
    </w:p>
    <w:p>
      <w:pPr>
        <w:pStyle w:val="2"/>
        <w:spacing w:before="2" w:line="520" w:lineRule="exact"/>
        <w:ind w:right="270" w:firstLine="720" w:firstLineChars="225"/>
        <w:jc w:val="both"/>
        <w:rPr>
          <w:rFonts w:hint="eastAsia"/>
          <w:lang w:val="en-US"/>
        </w:rPr>
      </w:pPr>
      <w:r>
        <w:rPr>
          <w:rFonts w:hint="eastAsia"/>
          <w:lang w:val="en-US"/>
        </w:rPr>
        <w:t>2017年，</w:t>
      </w:r>
      <w:r>
        <w:rPr>
          <w:rFonts w:hint="eastAsia"/>
          <w:lang w:val="en-US" w:eastAsia="zh-CN"/>
        </w:rPr>
        <w:t>淮阳县科学技术协会</w:t>
      </w:r>
      <w:r>
        <w:rPr>
          <w:rFonts w:hint="eastAsia"/>
          <w:lang w:val="en-US"/>
        </w:rPr>
        <w:t>严格预算开支，建立有效的财务支出约束机制，比如加强经费管理制度、财务人员管理职责等综合性的管理制度，加强办公费、印刷费等单项管理制度，加强公务接待、车辆等相关性的管理制度。做到有章可循，按制办事，以堵塞漏洞，节约资金，防止资金支出中的跑、冒、滴、漏，最大限度地提高资金的使用效益。</w:t>
      </w:r>
    </w:p>
    <w:p>
      <w:pPr>
        <w:pStyle w:val="2"/>
        <w:numPr>
          <w:ilvl w:val="0"/>
          <w:numId w:val="2"/>
        </w:numPr>
        <w:spacing w:before="2" w:line="520" w:lineRule="exact"/>
        <w:ind w:right="270" w:firstLine="720" w:firstLineChars="225"/>
        <w:jc w:val="both"/>
        <w:rPr>
          <w:rFonts w:hint="eastAsia"/>
          <w:lang w:val="en-US"/>
        </w:rPr>
      </w:pPr>
      <w:r>
        <w:rPr>
          <w:rFonts w:hint="eastAsia"/>
          <w:lang w:val="en-US"/>
        </w:rPr>
        <w:t>项目绩效自评结果</w:t>
      </w:r>
    </w:p>
    <w:p>
      <w:pPr>
        <w:pStyle w:val="2"/>
        <w:numPr>
          <w:ilvl w:val="0"/>
          <w:numId w:val="0"/>
        </w:numPr>
        <w:spacing w:before="2" w:line="520" w:lineRule="exact"/>
        <w:ind w:right="270" w:rightChars="0" w:firstLine="640" w:firstLineChars="200"/>
        <w:jc w:val="both"/>
        <w:rPr>
          <w:rFonts w:hint="eastAsia"/>
          <w:lang w:val="en-US"/>
        </w:rPr>
      </w:pPr>
      <w:r>
        <w:rPr>
          <w:rFonts w:hint="eastAsia"/>
          <w:lang w:val="en-US" w:eastAsia="zh-CN"/>
        </w:rPr>
        <w:t xml:space="preserve"> </w:t>
      </w:r>
      <w:r>
        <w:rPr>
          <w:rFonts w:hint="eastAsia" w:ascii="仿宋_GB2312" w:hAnsi="仿宋_GB2312" w:eastAsia="仿宋_GB2312" w:cs="仿宋_GB2312"/>
          <w:sz w:val="32"/>
          <w:szCs w:val="32"/>
          <w:lang w:val="en-US"/>
        </w:rPr>
        <w:t>2017年度，本单位没有民生项目和重点支出项目，所以未开展预算绩效评价</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九、政府性基金预算财政拨款支出决算情况说明</w:t>
      </w:r>
      <w:r>
        <w:rPr>
          <w:rFonts w:ascii="黑体" w:hAnsi="黑体" w:eastAsia="黑体"/>
          <w:lang w:val="en-US"/>
        </w:rPr>
        <w:t xml:space="preserve"> </w:t>
      </w:r>
    </w:p>
    <w:p>
      <w:pPr>
        <w:pStyle w:val="2"/>
        <w:spacing w:before="2" w:line="520" w:lineRule="exact"/>
        <w:ind w:right="270" w:firstLine="720" w:firstLineChars="225"/>
        <w:jc w:val="both"/>
        <w:rPr>
          <w:rFonts w:hint="eastAsia"/>
          <w:lang w:val="en-US"/>
        </w:rPr>
      </w:pPr>
      <w:r>
        <w:rPr>
          <w:rFonts w:hint="eastAsia"/>
          <w:lang w:val="en-US"/>
        </w:rPr>
        <w:t>2017年度政府性基金预算财政拨款支出年初预算为0万元，支出决算为0万元，完成年初预算的0%。党校没有政府性基金支出。</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2017年度机关运行经费支出60.02万元，较2016年度增加28.40万元，增长89.31%。增加的主要原因是：人员经费增加。</w:t>
      </w:r>
    </w:p>
    <w:p>
      <w:pPr>
        <w:pStyle w:val="2"/>
        <w:spacing w:before="2" w:line="520" w:lineRule="exact"/>
        <w:ind w:right="270" w:firstLine="720" w:firstLineChars="225"/>
        <w:jc w:val="both"/>
        <w:rPr>
          <w:rFonts w:hint="eastAsia"/>
          <w:lang w:val="en-US"/>
        </w:rPr>
      </w:pP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pStyle w:val="2"/>
        <w:spacing w:before="2" w:line="520" w:lineRule="exact"/>
        <w:ind w:right="270" w:firstLine="720" w:firstLineChars="225"/>
        <w:jc w:val="both"/>
        <w:rPr>
          <w:rFonts w:hint="eastAsia"/>
          <w:lang w:val="en-US"/>
        </w:rPr>
      </w:pPr>
      <w:r>
        <w:rPr>
          <w:rFonts w:hint="eastAsia"/>
          <w:lang w:val="en-US"/>
        </w:rPr>
        <w:t>2017年度政府采购支出总额</w:t>
      </w:r>
      <w:r>
        <w:rPr>
          <w:rFonts w:hint="eastAsia"/>
          <w:lang w:val="en-US" w:eastAsia="zh-CN"/>
        </w:rPr>
        <w:t>0.00</w:t>
      </w:r>
      <w:r>
        <w:rPr>
          <w:rFonts w:hint="eastAsia"/>
          <w:lang w:val="en-US"/>
        </w:rPr>
        <w:t>万元。其中：政府采购货物支出</w:t>
      </w:r>
      <w:r>
        <w:rPr>
          <w:rFonts w:hint="eastAsia"/>
          <w:lang w:val="en-US" w:eastAsia="zh-CN"/>
        </w:rPr>
        <w:t>0.00</w:t>
      </w:r>
      <w:r>
        <w:rPr>
          <w:rFonts w:hint="eastAsia"/>
          <w:lang w:val="en-US"/>
        </w:rPr>
        <w:t>万元，政府采购工程支出0</w:t>
      </w:r>
      <w:r>
        <w:rPr>
          <w:rFonts w:hint="eastAsia"/>
          <w:lang w:val="en-US" w:eastAsia="zh-CN"/>
        </w:rPr>
        <w:t>.00</w:t>
      </w:r>
      <w:r>
        <w:rPr>
          <w:rFonts w:hint="eastAsia"/>
          <w:lang w:val="en-US"/>
        </w:rPr>
        <w:t>万元，政府采购服务支出0</w:t>
      </w:r>
      <w:r>
        <w:rPr>
          <w:rFonts w:hint="eastAsia"/>
          <w:lang w:val="en-US" w:eastAsia="zh-CN"/>
        </w:rPr>
        <w:t>.00</w:t>
      </w:r>
      <w:r>
        <w:rPr>
          <w:rFonts w:hint="eastAsia"/>
          <w:lang w:val="en-US"/>
        </w:rPr>
        <w:t>万元。</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shd w:val="clear" w:color="auto" w:fill="FFFFFF"/>
        <w:adjustRightInd/>
        <w:snapToGrid/>
        <w:spacing w:after="0" w:line="270" w:lineRule="atLeast"/>
        <w:ind w:firstLine="672"/>
        <w:rPr>
          <w:rFonts w:hint="eastAsia"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eastAsia="zh-CN" w:bidi="zh-CN"/>
        </w:rPr>
        <w:t>2017年期末</w:t>
      </w:r>
      <w:r>
        <w:rPr>
          <w:rFonts w:hint="eastAsia" w:cs="仿宋_GB2312"/>
          <w:sz w:val="32"/>
          <w:szCs w:val="32"/>
          <w:lang w:val="en-US" w:eastAsia="zh-CN" w:bidi="zh-CN"/>
        </w:rPr>
        <w:t>，淮阳县科学技术协会</w:t>
      </w:r>
      <w:r>
        <w:rPr>
          <w:rFonts w:hint="eastAsia" w:ascii="仿宋_GB2312" w:hAnsi="仿宋_GB2312" w:eastAsia="仿宋_GB2312" w:cs="仿宋_GB2312"/>
          <w:sz w:val="32"/>
          <w:szCs w:val="32"/>
          <w:lang w:val="en-US" w:eastAsia="zh-CN" w:bidi="zh-CN"/>
        </w:rPr>
        <w:t>共有车辆1辆。其中：一般公务用车</w:t>
      </w:r>
      <w:r>
        <w:rPr>
          <w:rFonts w:hint="eastAsia" w:cs="仿宋_GB2312"/>
          <w:sz w:val="32"/>
          <w:szCs w:val="32"/>
          <w:lang w:val="en-US" w:eastAsia="zh-CN" w:bidi="zh-CN"/>
        </w:rPr>
        <w:t>0</w:t>
      </w:r>
      <w:r>
        <w:rPr>
          <w:rFonts w:hint="eastAsia" w:ascii="仿宋_GB2312" w:hAnsi="仿宋_GB2312" w:eastAsia="仿宋_GB2312" w:cs="仿宋_GB2312"/>
          <w:sz w:val="32"/>
          <w:szCs w:val="32"/>
          <w:lang w:val="en-US" w:eastAsia="zh-CN" w:bidi="zh-CN"/>
        </w:rPr>
        <w:t>辆、一般执法执勤用车0辆、专业技术用车</w:t>
      </w:r>
      <w:r>
        <w:rPr>
          <w:rFonts w:hint="eastAsia" w:cs="仿宋_GB2312"/>
          <w:sz w:val="32"/>
          <w:szCs w:val="32"/>
          <w:lang w:val="en-US" w:eastAsia="zh-CN" w:bidi="zh-CN"/>
        </w:rPr>
        <w:t>1</w:t>
      </w:r>
      <w:r>
        <w:rPr>
          <w:rFonts w:hint="eastAsia" w:ascii="仿宋_GB2312" w:hAnsi="仿宋_GB2312" w:eastAsia="仿宋_GB2312" w:cs="仿宋_GB2312"/>
          <w:sz w:val="32"/>
          <w:szCs w:val="32"/>
          <w:lang w:val="en-US" w:eastAsia="zh-CN" w:bidi="zh-CN"/>
        </w:rPr>
        <w:t>辆</w:t>
      </w:r>
      <w:r>
        <w:rPr>
          <w:rFonts w:hint="eastAsia" w:cs="仿宋_GB2312"/>
          <w:sz w:val="32"/>
          <w:szCs w:val="32"/>
          <w:lang w:val="en-US" w:eastAsia="zh-CN" w:bidi="zh-CN"/>
        </w:rPr>
        <w:t>（科普大篷车）</w:t>
      </w:r>
      <w:r>
        <w:rPr>
          <w:rFonts w:hint="eastAsia" w:ascii="仿宋_GB2312" w:hAnsi="仿宋_GB2312" w:eastAsia="仿宋_GB2312" w:cs="仿宋_GB2312"/>
          <w:sz w:val="32"/>
          <w:szCs w:val="32"/>
          <w:lang w:val="en-US" w:eastAsia="zh-CN" w:bidi="zh-CN"/>
        </w:rPr>
        <w:t xml:space="preserve">，其他用车0辆；单价50万元以上通用设备0台（套），单位价值100万元以上专用设备0台（套）。 </w:t>
      </w: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both"/>
        <w:rPr>
          <w:rFonts w:ascii="黑体" w:eastAsia="黑体"/>
          <w:sz w:val="48"/>
        </w:rPr>
      </w:pPr>
    </w:p>
    <w:p>
      <w:pPr>
        <w:tabs>
          <w:tab w:val="left" w:pos="3993"/>
        </w:tabs>
        <w:spacing w:before="32" w:line="520" w:lineRule="exact"/>
        <w:ind w:firstLine="1080" w:firstLineChars="225"/>
        <w:jc w:val="center"/>
        <w:rPr>
          <w:rFonts w:ascii="黑体" w:eastAsia="黑体"/>
          <w:sz w:val="48"/>
        </w:rPr>
      </w:pPr>
      <w:r>
        <w:rPr>
          <w:rFonts w:hint="eastAsia" w:ascii="黑体" w:eastAsia="黑体"/>
          <w:sz w:val="48"/>
        </w:rPr>
        <w:t>第</w:t>
      </w:r>
      <w:r>
        <w:rPr>
          <w:rFonts w:hint="eastAsia" w:ascii="黑体" w:eastAsia="黑体"/>
          <w:sz w:val="48"/>
          <w:lang w:val="en-US" w:eastAsia="zh-CN"/>
        </w:rPr>
        <w:t>三</w:t>
      </w:r>
      <w:r>
        <w:rPr>
          <w:rFonts w:hint="eastAsia" w:ascii="黑体" w:eastAsia="黑体"/>
          <w:sz w:val="48"/>
        </w:rPr>
        <w:t>部分</w:t>
      </w:r>
      <w:r>
        <w:rPr>
          <w:rFonts w:ascii="黑体" w:eastAsia="黑体"/>
          <w:sz w:val="48"/>
        </w:rPr>
        <w:t xml:space="preserve"> 名词解释</w:t>
      </w: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四、年初结转和结余</w:t>
      </w:r>
      <w:r>
        <w:rPr>
          <w:rFonts w:hint="eastAsia"/>
          <w:lang w:val="en-US"/>
        </w:rPr>
        <w:t>：指以前年度尚未完成、结转到本年</w:t>
      </w:r>
    </w:p>
    <w:p>
      <w:pPr>
        <w:pStyle w:val="2"/>
        <w:spacing w:before="2" w:line="520" w:lineRule="exact"/>
        <w:ind w:right="270" w:firstLine="720" w:firstLineChars="225"/>
        <w:jc w:val="both"/>
        <w:rPr>
          <w:lang w:val="en-US"/>
        </w:rPr>
      </w:pPr>
      <w:r>
        <w:rPr>
          <w:rFonts w:hint="eastAsia"/>
          <w:lang w:val="en-US"/>
        </w:rPr>
        <w:t>按有关规定继续使用的资金。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pPr>
        <w:pStyle w:val="2"/>
        <w:spacing w:before="2" w:line="520" w:lineRule="exact"/>
        <w:ind w:right="270" w:firstLine="723" w:firstLineChars="225"/>
        <w:jc w:val="both"/>
        <w:rPr>
          <w:b/>
          <w:lang w:val="en-US"/>
        </w:rPr>
      </w:pPr>
      <w:r>
        <w:rPr>
          <w:rFonts w:hint="eastAsia"/>
          <w:b/>
          <w:lang w:val="en-US"/>
        </w:rPr>
        <w:t>七、社会保障和就业（类）行政事业单位离退休（款）</w:t>
      </w:r>
    </w:p>
    <w:p>
      <w:pPr>
        <w:pStyle w:val="2"/>
        <w:spacing w:before="2" w:line="520" w:lineRule="exact"/>
        <w:ind w:right="270" w:firstLine="720" w:firstLineChars="225"/>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pPr>
        <w:pStyle w:val="2"/>
        <w:spacing w:before="2" w:line="520" w:lineRule="exact"/>
        <w:ind w:right="270" w:firstLine="723" w:firstLineChars="225"/>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pPr>
        <w:pStyle w:val="2"/>
        <w:spacing w:before="2" w:line="520" w:lineRule="exact"/>
        <w:ind w:right="270" w:firstLine="723" w:firstLineChars="225"/>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十五、“三公”经费</w:t>
      </w:r>
      <w:r>
        <w:rPr>
          <w:rFonts w:hint="eastAsia"/>
          <w:lang w:val="en-US"/>
        </w:rPr>
        <w:t>：指纳入省级财政预算管理，部门使</w:t>
      </w:r>
    </w:p>
    <w:p>
      <w:pPr>
        <w:pStyle w:val="2"/>
        <w:spacing w:before="2" w:line="520" w:lineRule="exact"/>
        <w:ind w:right="270" w:firstLine="720" w:firstLineChars="225"/>
        <w:jc w:val="both"/>
        <w:rPr>
          <w:lang w:val="en-US"/>
        </w:rPr>
      </w:pPr>
      <w:r>
        <w:rPr>
          <w:rFonts w:hint="eastAsia"/>
          <w:lang w:val="en-US"/>
        </w:rPr>
        <w:t>用财政拨款安排的因公出国（境）费、公务用车购置及运行费和公务接待费。其中，因公出国（境）费反映单位公务出国（境）的住宿费、</w:t>
      </w:r>
      <w:r>
        <w:rPr>
          <w:rFonts w:hint="eastAsia"/>
          <w:lang w:val="en-US" w:eastAsia="zh-CN"/>
        </w:rPr>
        <w:t>差</w:t>
      </w:r>
      <w:r>
        <w:rPr>
          <w:rFonts w:hint="eastAsia"/>
          <w:lang w:val="en-US"/>
        </w:rPr>
        <w:t>旅费、伙食补助费、</w:t>
      </w:r>
      <w:r>
        <w:rPr>
          <w:rFonts w:hint="eastAsia"/>
          <w:lang w:val="en-US" w:eastAsia="zh-CN"/>
        </w:rPr>
        <w:t>公</w:t>
      </w:r>
      <w:r>
        <w:rPr>
          <w:rFonts w:hint="eastAsia"/>
          <w:lang w:val="en-US"/>
        </w:rPr>
        <w:t xml:space="preserve">杂费、培训费等支出；公务用车购置及运行费反映单位公务用车购置费及租用费、燃料费、维修费、过路过桥费、保险费、安全奖励费用等支出；公务接待费反映单位按规定开支的各类公务接待（含外宾接待）支出。 </w:t>
      </w:r>
    </w:p>
    <w:p>
      <w:pPr>
        <w:pStyle w:val="2"/>
        <w:numPr>
          <w:ilvl w:val="0"/>
          <w:numId w:val="3"/>
        </w:numPr>
        <w:spacing w:before="2" w:line="520" w:lineRule="exact"/>
        <w:ind w:right="270" w:firstLine="723" w:firstLineChars="225"/>
        <w:jc w:val="both"/>
        <w:rPr>
          <w:rFonts w:hint="eastAsia"/>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2"/>
        <w:numPr>
          <w:ilvl w:val="0"/>
          <w:numId w:val="0"/>
        </w:numPr>
        <w:spacing w:before="2" w:line="520" w:lineRule="exact"/>
        <w:ind w:right="270" w:rightChars="0"/>
        <w:jc w:val="both"/>
        <w:rPr>
          <w:rFonts w:hint="eastAsia"/>
          <w:lang w:val="en-US"/>
        </w:rPr>
      </w:pPr>
    </w:p>
    <w:p>
      <w:pPr>
        <w:pStyle w:val="2"/>
        <w:tabs>
          <w:tab w:val="left" w:pos="2027"/>
        </w:tabs>
        <w:spacing w:line="406" w:lineRule="exact"/>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 w:line="520" w:lineRule="exact"/>
        <w:ind w:left="317" w:right="270" w:firstLine="640" w:firstLineChars="200"/>
        <w:jc w:val="both"/>
        <w:rPr>
          <w:lang w:val="en-US"/>
        </w:rPr>
      </w:pPr>
    </w:p>
    <w:sectPr>
      <w:footerReference r:id="rId4" w:type="default"/>
      <w:pgSz w:w="11910" w:h="16840"/>
      <w:pgMar w:top="1520" w:right="1278" w:bottom="1180" w:left="1480" w:header="0" w:footer="999"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DFKai-SB">
    <w:panose1 w:val="03000509000000000000"/>
    <w:charset w:val="88"/>
    <w:family w:val="auto"/>
    <w:pitch w:val="default"/>
    <w:sig w:usb0="00000003" w:usb1="082E0000" w:usb2="00000016" w:usb3="00000000" w:csb0="00100001" w:csb1="00000000"/>
  </w:font>
  <w:font w:name="Gungsuh">
    <w:panose1 w:val="02030600000101010101"/>
    <w:charset w:val="81"/>
    <w:family w:val="auto"/>
    <w:pitch w:val="default"/>
    <w:sig w:usb0="B00002AF" w:usb1="69D77CFB" w:usb2="00000030" w:usb3="00000000" w:csb0="4008009F" w:csb1="DFD70000"/>
  </w:font>
  <w:font w:name="Ebrima">
    <w:panose1 w:val="02000000000000000000"/>
    <w:charset w:val="00"/>
    <w:family w:val="auto"/>
    <w:pitch w:val="default"/>
    <w:sig w:usb0="A000505F" w:usb1="02000041" w:usb2="00000000" w:usb3="00000404" w:csb0="00000093" w:csb1="00000000"/>
  </w:font>
  <w:font w:name="Cambria">
    <w:panose1 w:val="02040503050406030204"/>
    <w:charset w:val="00"/>
    <w:family w:val="auto"/>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ascii="仿宋_GB2312" w:hAnsi="仿宋_GB2312" w:eastAsia="仿宋_GB2312" w:cs="仿宋_GB2312"/>
        <w:sz w:val="18"/>
        <w:szCs w:val="18"/>
        <w:lang w:val="zh-CN" w:eastAsia="zh-CN" w:bidi="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jc w:val="center"/>
                          </w:pPr>
                          <w:r>
                            <w:fldChar w:fldCharType="begin"/>
                          </w:r>
                          <w:r>
                            <w:instrText xml:space="preserve"> PAGE   \* MERGEFORMAT </w:instrText>
                          </w:r>
                          <w:r>
                            <w:fldChar w:fldCharType="separate"/>
                          </w:r>
                          <w:r>
                            <w:t>3</w:t>
                          </w:r>
                          <w:r>
                            <w:fldChar w:fldCharType="end"/>
                          </w:r>
                        </w:p>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4t8fq5AQAAVwMAAA4AAAAAAAAAAQAgAAAAHgEAAGRycy9lMm9Eb2MueG1sUEsFBgAAAAAGAAYA&#10;WQEAAEkFAAAAAA==&#10;">
              <v:fill on="f" focussize="0,0"/>
              <v:stroke on="f"/>
              <v:imagedata o:title=""/>
              <o:lock v:ext="edit" aspectratio="f"/>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mc:Fallback>
      </mc:AlternateConten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wps:txbx>
                    <wps:bodyPr wrap="none" lIns="0" tIns="0" rIns="0" bIns="0" upright="1">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MIhm0O5AQAAVwMAAA4AAAAAAAAAAQAgAAAAHgEAAGRycy9lMm9Eb2MueG1sUEsFBgAAAAAGAAYA&#10;WQEAAEkFAAAAAA==&#10;">
              <v:fill on="f" focussize="0,0"/>
              <v:stroke on="f"/>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v:shape>
          </w:pict>
        </mc:Fallback>
      </mc:AlternateContent>
    </w:r>
    <w:r>
      <w:rPr>
        <w:rFonts w:ascii="仿宋_GB2312" w:hAnsi="仿宋_GB2312" w:eastAsia="仿宋_GB2312" w:cs="仿宋_GB2312"/>
        <w:sz w:val="32"/>
        <w:szCs w:val="32"/>
        <w:lang w:val="zh-CN" w:eastAsia="zh-CN" w:bidi="zh-CN"/>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0" r="0" b="0"/>
              <wp:wrapNone/>
              <wp:docPr id="2" name="文本框 1029"/>
              <wp:cNvGraphicFramePr/>
              <a:graphic xmlns:a="http://schemas.openxmlformats.org/drawingml/2006/main">
                <a:graphicData uri="http://schemas.microsoft.com/office/word/2010/wordprocessingShape">
                  <wps:wsp>
                    <wps:cNvSpPr txBox="1"/>
                    <wps:spPr>
                      <a:xfrm>
                        <a:off x="0" y="0"/>
                        <a:ext cx="82550" cy="152400"/>
                      </a:xfrm>
                      <a:prstGeom prst="rect">
                        <a:avLst/>
                      </a:prstGeom>
                      <a:noFill/>
                      <a:ln w="9525">
                        <a:noFill/>
                      </a:ln>
                    </wps:spPr>
                    <wps:txbx>
                      <w:txbxContent>
                        <w:p>
                          <w:pPr>
                            <w:spacing w:before="12"/>
                            <w:rPr>
                              <w:rFonts w:ascii="Times New Roman"/>
                              <w:sz w:val="18"/>
                            </w:rPr>
                          </w:pPr>
                        </w:p>
                      </w:txbxContent>
                    </wps:txbx>
                    <wps:bodyPr lIns="0" tIns="0" rIns="0" bIns="0" upright="1"/>
                  </wps:wsp>
                </a:graphicData>
              </a:graphic>
            </wp:anchor>
          </w:drawing>
        </mc:Choice>
        <mc:Fallback>
          <w:pict>
            <v:shape id="文本框 1029" o:spid="_x0000_s1026" o:spt="202" type="#_x0000_t202" style="position:absolute;left:0pt;margin-left:295.15pt;margin-top:781.05pt;height:12pt;width:6.5pt;mso-position-horizontal-relative:page;mso-position-vertical-relative:page;z-index:-251657216;mso-width-relative:page;mso-height-relative:page;" filled="f" stroked="f" coordsize="21600,21600" o:gfxdata="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s1Ytd2gAAAA0B&#10;AAAPAAAAAAAAAAEAIAAAACIAAABkcnMvZG93bnJldi54bWxQSwECFAAUAAAACACHTuJA5o83racB&#10;AAAuAwAADgAAAAAAAAABACAAAAApAQAAZHJzL2Uyb0RvYy54bWxQSwUGAAAAAAYABgBZAQAAQgUA&#10;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C720FD"/>
    <w:multiLevelType w:val="singleLevel"/>
    <w:tmpl w:val="C6C720FD"/>
    <w:lvl w:ilvl="0" w:tentative="0">
      <w:start w:val="2"/>
      <w:numFmt w:val="chineseCounting"/>
      <w:suff w:val="nothing"/>
      <w:lvlText w:val="（%1）"/>
      <w:lvlJc w:val="left"/>
      <w:rPr>
        <w:rFonts w:hint="eastAsia"/>
      </w:rPr>
    </w:lvl>
  </w:abstractNum>
  <w:abstractNum w:abstractNumId="1">
    <w:nsid w:val="43333DD6"/>
    <w:multiLevelType w:val="singleLevel"/>
    <w:tmpl w:val="43333DD6"/>
    <w:lvl w:ilvl="0" w:tentative="0">
      <w:start w:val="3"/>
      <w:numFmt w:val="chineseCounting"/>
      <w:suff w:val="nothing"/>
      <w:lvlText w:val="%1、"/>
      <w:lvlJc w:val="left"/>
      <w:rPr>
        <w:rFonts w:hint="eastAsia"/>
      </w:rPr>
    </w:lvl>
  </w:abstractNum>
  <w:abstractNum w:abstractNumId="2">
    <w:nsid w:val="4D0359FC"/>
    <w:multiLevelType w:val="singleLevel"/>
    <w:tmpl w:val="4D0359FC"/>
    <w:lvl w:ilvl="0" w:tentative="0">
      <w:start w:val="16"/>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oNotDisplayPageBoundaries w:val="1"/>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hdrShapeDefaults>
    <o:shapelayout v:ext="edit">
      <o:idmap v:ext="edit" data="3,4"/>
    </o:shapelayout>
  </w:hdrShapeDefaults>
  <w:compat>
    <w:spaceForUL/>
    <w:doNotLeaveBackslashAlone/>
    <w:ulTrailSpace/>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2A00CD"/>
    <w:rsid w:val="03E906F5"/>
    <w:rsid w:val="04512C72"/>
    <w:rsid w:val="04531712"/>
    <w:rsid w:val="06282C38"/>
    <w:rsid w:val="07C242A9"/>
    <w:rsid w:val="089E5B6F"/>
    <w:rsid w:val="08F3460E"/>
    <w:rsid w:val="0A3C6FCD"/>
    <w:rsid w:val="0A4613D1"/>
    <w:rsid w:val="0A561832"/>
    <w:rsid w:val="0CCA290B"/>
    <w:rsid w:val="0DA74738"/>
    <w:rsid w:val="0E083644"/>
    <w:rsid w:val="109868AF"/>
    <w:rsid w:val="10C4184D"/>
    <w:rsid w:val="10DA5CD6"/>
    <w:rsid w:val="116A0168"/>
    <w:rsid w:val="12E51233"/>
    <w:rsid w:val="14234E0A"/>
    <w:rsid w:val="148C18F6"/>
    <w:rsid w:val="15B94D5A"/>
    <w:rsid w:val="170147D0"/>
    <w:rsid w:val="19E202D5"/>
    <w:rsid w:val="1ADF67E5"/>
    <w:rsid w:val="1B0E65A6"/>
    <w:rsid w:val="1C1A719D"/>
    <w:rsid w:val="1C837410"/>
    <w:rsid w:val="1D3D1B33"/>
    <w:rsid w:val="1EC67529"/>
    <w:rsid w:val="1F8D1063"/>
    <w:rsid w:val="1F9E47ED"/>
    <w:rsid w:val="20647020"/>
    <w:rsid w:val="214C68EE"/>
    <w:rsid w:val="234F4ED7"/>
    <w:rsid w:val="237F1974"/>
    <w:rsid w:val="23A02CB7"/>
    <w:rsid w:val="23B06FE4"/>
    <w:rsid w:val="24342A85"/>
    <w:rsid w:val="263802D3"/>
    <w:rsid w:val="296367C6"/>
    <w:rsid w:val="2AB220FC"/>
    <w:rsid w:val="2C123C52"/>
    <w:rsid w:val="2D454934"/>
    <w:rsid w:val="2DD654F9"/>
    <w:rsid w:val="2EBC1079"/>
    <w:rsid w:val="2F2146C0"/>
    <w:rsid w:val="2F253ED0"/>
    <w:rsid w:val="2F6C2494"/>
    <w:rsid w:val="30877C0C"/>
    <w:rsid w:val="30891345"/>
    <w:rsid w:val="314F3E97"/>
    <w:rsid w:val="33236F6D"/>
    <w:rsid w:val="34365366"/>
    <w:rsid w:val="349D4C33"/>
    <w:rsid w:val="34F866C3"/>
    <w:rsid w:val="36371B05"/>
    <w:rsid w:val="363A245F"/>
    <w:rsid w:val="366073DF"/>
    <w:rsid w:val="36A938DB"/>
    <w:rsid w:val="37732213"/>
    <w:rsid w:val="38827224"/>
    <w:rsid w:val="39C0531B"/>
    <w:rsid w:val="3A05003D"/>
    <w:rsid w:val="3AC71431"/>
    <w:rsid w:val="3B0F15D8"/>
    <w:rsid w:val="3B251C02"/>
    <w:rsid w:val="3C572B23"/>
    <w:rsid w:val="3CB47414"/>
    <w:rsid w:val="3CC67F9F"/>
    <w:rsid w:val="3CF1507B"/>
    <w:rsid w:val="3D4C4A1A"/>
    <w:rsid w:val="3D816227"/>
    <w:rsid w:val="410F1310"/>
    <w:rsid w:val="41F5187F"/>
    <w:rsid w:val="421B5E46"/>
    <w:rsid w:val="422745BF"/>
    <w:rsid w:val="42BF3977"/>
    <w:rsid w:val="430E7868"/>
    <w:rsid w:val="457771C6"/>
    <w:rsid w:val="46986B64"/>
    <w:rsid w:val="47264740"/>
    <w:rsid w:val="491C1B64"/>
    <w:rsid w:val="492C3C3E"/>
    <w:rsid w:val="4950204A"/>
    <w:rsid w:val="4A8E6527"/>
    <w:rsid w:val="4ACB24CE"/>
    <w:rsid w:val="4AD207B7"/>
    <w:rsid w:val="4ADD490B"/>
    <w:rsid w:val="4CA6170C"/>
    <w:rsid w:val="4CC251D3"/>
    <w:rsid w:val="4E99690B"/>
    <w:rsid w:val="4EE8726A"/>
    <w:rsid w:val="4EF745A9"/>
    <w:rsid w:val="507E303B"/>
    <w:rsid w:val="509372AA"/>
    <w:rsid w:val="509411EA"/>
    <w:rsid w:val="527C03A4"/>
    <w:rsid w:val="52D10321"/>
    <w:rsid w:val="53C86CED"/>
    <w:rsid w:val="5655443B"/>
    <w:rsid w:val="56AF2A4E"/>
    <w:rsid w:val="56CC1F5A"/>
    <w:rsid w:val="57BC6778"/>
    <w:rsid w:val="58526EE4"/>
    <w:rsid w:val="5C001E48"/>
    <w:rsid w:val="5D5B1A6D"/>
    <w:rsid w:val="5E4A1E32"/>
    <w:rsid w:val="5E4C2C8A"/>
    <w:rsid w:val="5F1A24B2"/>
    <w:rsid w:val="61067361"/>
    <w:rsid w:val="61265587"/>
    <w:rsid w:val="613E144B"/>
    <w:rsid w:val="618F2B70"/>
    <w:rsid w:val="629C68D3"/>
    <w:rsid w:val="64084DB6"/>
    <w:rsid w:val="649C20FD"/>
    <w:rsid w:val="65E54485"/>
    <w:rsid w:val="69815BE6"/>
    <w:rsid w:val="69CF5415"/>
    <w:rsid w:val="6A4C388E"/>
    <w:rsid w:val="6B4F449F"/>
    <w:rsid w:val="6D114D5C"/>
    <w:rsid w:val="6DB94419"/>
    <w:rsid w:val="6E884901"/>
    <w:rsid w:val="6F2857A5"/>
    <w:rsid w:val="7321036B"/>
    <w:rsid w:val="73F0016C"/>
    <w:rsid w:val="7489725E"/>
    <w:rsid w:val="74D20FD4"/>
    <w:rsid w:val="75254E8A"/>
    <w:rsid w:val="75EB22AF"/>
    <w:rsid w:val="795C76F5"/>
    <w:rsid w:val="79CE5B58"/>
    <w:rsid w:val="7C245805"/>
    <w:rsid w:val="7CD360AB"/>
    <w:rsid w:val="7ECC711B"/>
    <w:rsid w:val="7EF27546"/>
    <w:rsid w:val="7FBB5465"/>
    <w:rsid w:val="7FD95E4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仿宋_GB2312" w:hAnsi="仿宋_GB2312" w:eastAsia="仿宋_GB2312" w:cs="仿宋_GB2312"/>
      <w:sz w:val="22"/>
      <w:szCs w:val="22"/>
      <w:lang w:val="zh-CN" w:eastAsia="zh-CN" w:bidi="zh-CN"/>
    </w:rPr>
  </w:style>
  <w:style w:type="character" w:default="1" w:styleId="5">
    <w:name w:val="Default Paragraph Font"/>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rPr>
      <w:sz w:val="32"/>
      <w:szCs w:val="32"/>
    </w:rPr>
  </w:style>
  <w:style w:type="paragraph" w:styleId="3">
    <w:name w:val="footer"/>
    <w:basedOn w:val="1"/>
    <w:link w:val="10"/>
    <w:qFormat/>
    <w:uiPriority w:val="0"/>
    <w:pPr>
      <w:tabs>
        <w:tab w:val="center" w:pos="4153"/>
        <w:tab w:val="right" w:pos="8306"/>
      </w:tabs>
      <w:snapToGrid w:val="0"/>
    </w:pPr>
    <w:rPr>
      <w:rFonts w:ascii="仿宋_GB2312" w:hAnsi="仿宋_GB2312" w:eastAsia="仿宋_GB2312" w:cs="仿宋_GB2312"/>
      <w:sz w:val="18"/>
      <w:szCs w:val="18"/>
      <w:lang w:val="zh-CN" w:eastAsia="zh-CN" w:bidi="zh-CN"/>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rFonts w:ascii="仿宋_GB2312" w:hAnsi="仿宋_GB2312" w:eastAsia="仿宋_GB2312" w:cs="仿宋_GB2312"/>
      <w:sz w:val="18"/>
      <w:szCs w:val="18"/>
      <w:lang w:val="zh-CN" w:eastAsia="zh-CN" w:bidi="zh-CN"/>
    </w:rPr>
  </w:style>
  <w:style w:type="character" w:styleId="6">
    <w:name w:val="FollowedHyperlink"/>
    <w:basedOn w:val="5"/>
    <w:qFormat/>
    <w:uiPriority w:val="0"/>
    <w:rPr>
      <w:color w:val="800080"/>
      <w:u w:val="single"/>
    </w:rPr>
  </w:style>
  <w:style w:type="paragraph" w:customStyle="1" w:styleId="8">
    <w:name w:val="批注框文本1"/>
    <w:basedOn w:val="1"/>
    <w:link w:val="9"/>
    <w:qFormat/>
    <w:uiPriority w:val="0"/>
    <w:rPr>
      <w:rFonts w:ascii="仿宋_GB2312" w:hAnsi="仿宋_GB2312" w:eastAsia="仿宋_GB2312" w:cs="仿宋_GB2312"/>
      <w:sz w:val="18"/>
      <w:szCs w:val="18"/>
      <w:lang w:val="zh-CN" w:bidi="zh-CN"/>
    </w:rPr>
  </w:style>
  <w:style w:type="character" w:customStyle="1" w:styleId="9">
    <w:name w:val="批注框文本 Char"/>
    <w:basedOn w:val="5"/>
    <w:link w:val="8"/>
    <w:semiHidden/>
    <w:qFormat/>
    <w:uiPriority w:val="0"/>
    <w:rPr>
      <w:rFonts w:ascii="仿宋_GB2312" w:hAnsi="仿宋_GB2312" w:eastAsia="仿宋_GB2312" w:cs="仿宋_GB2312"/>
      <w:sz w:val="18"/>
      <w:szCs w:val="18"/>
      <w:lang w:val="zh-CN" w:bidi="zh-CN"/>
    </w:rPr>
  </w:style>
  <w:style w:type="character" w:customStyle="1" w:styleId="10">
    <w:name w:val="页脚 Char"/>
    <w:basedOn w:val="5"/>
    <w:link w:val="3"/>
    <w:semiHidden/>
    <w:qFormat/>
    <w:uiPriority w:val="0"/>
    <w:rPr>
      <w:rFonts w:ascii="仿宋_GB2312" w:hAnsi="仿宋_GB2312" w:eastAsia="仿宋_GB2312" w:cs="仿宋_GB2312"/>
      <w:sz w:val="18"/>
      <w:szCs w:val="18"/>
      <w:lang w:val="zh-CN" w:eastAsia="zh-CN" w:bidi="zh-CN"/>
    </w:rPr>
  </w:style>
  <w:style w:type="character" w:customStyle="1" w:styleId="11">
    <w:name w:val="页眉 Char"/>
    <w:basedOn w:val="5"/>
    <w:link w:val="4"/>
    <w:semiHidden/>
    <w:qFormat/>
    <w:uiPriority w:val="0"/>
    <w:rPr>
      <w:rFonts w:ascii="仿宋_GB2312" w:hAnsi="仿宋_GB2312" w:eastAsia="仿宋_GB2312" w:cs="仿宋_GB2312"/>
      <w:sz w:val="18"/>
      <w:szCs w:val="18"/>
      <w:lang w:val="zh-CN" w:eastAsia="zh-CN" w:bidi="zh-CN"/>
    </w:rPr>
  </w:style>
  <w:style w:type="paragraph" w:customStyle="1" w:styleId="12">
    <w:name w:val="Normal (Web)"/>
    <w:basedOn w:val="1"/>
    <w:qFormat/>
    <w:uiPriority w:val="0"/>
    <w:pPr>
      <w:widowControl/>
      <w:spacing w:before="100" w:beforeAutospacing="1" w:after="100" w:afterAutospacing="1"/>
    </w:pPr>
    <w:rPr>
      <w:rFonts w:ascii="宋体" w:hAnsi="宋体" w:eastAsia="宋体" w:cs="宋体"/>
      <w:sz w:val="24"/>
      <w:szCs w:val="24"/>
      <w:lang w:val="en-US" w:bidi="ar-SA"/>
    </w:rPr>
  </w:style>
  <w:style w:type="paragraph" w:customStyle="1" w:styleId="13">
    <w:name w:val="标题 11"/>
    <w:basedOn w:val="1"/>
    <w:qFormat/>
    <w:uiPriority w:val="0"/>
    <w:pPr>
      <w:spacing w:before="27"/>
      <w:ind w:left="2273" w:right="2175"/>
      <w:jc w:val="center"/>
      <w:outlineLvl w:val="1"/>
    </w:pPr>
    <w:rPr>
      <w:rFonts w:ascii="黑体" w:hAnsi="黑体" w:eastAsia="黑体" w:cs="黑体"/>
      <w:sz w:val="52"/>
      <w:szCs w:val="52"/>
    </w:rPr>
  </w:style>
  <w:style w:type="paragraph" w:customStyle="1" w:styleId="14">
    <w:name w:val="List Paragraph"/>
    <w:basedOn w:val="1"/>
    <w:qFormat/>
    <w:uiPriority w:val="0"/>
  </w:style>
  <w:style w:type="paragraph" w:customStyle="1" w:styleId="15">
    <w:name w:val="Table Paragraph"/>
    <w:basedOn w:val="1"/>
    <w:qFormat/>
    <w:uiPriority w:val="0"/>
  </w:style>
  <w:style w:type="paragraph" w:customStyle="1" w:styleId="16">
    <w:name w:val="p0"/>
    <w:basedOn w:val="1"/>
    <w:qFormat/>
    <w:uiPriority w:val="0"/>
    <w:pPr>
      <w:widowControl/>
      <w:spacing w:before="100" w:beforeLines="0" w:beforeAutospacing="1" w:after="100" w:afterLines="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3381</Words>
  <Characters>19276</Characters>
  <Lines>160</Lines>
  <Paragraphs>45</Paragraphs>
  <TotalTime>1</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2018-09-06T16:10:00Z</dcterms:created>
  <dc:creator>Administrator</dc:creator>
  <cp:lastModifiedBy>Administrator</cp:lastModifiedBy>
  <dcterms:modified xsi:type="dcterms:W3CDTF">2019-02-21T02:33:00Z</dcterms:modified>
  <dc:title>&lt;4D6963726F736F667420576F7264202D20BAD3C4CFCAA1B2C6D5FECCFC32303137C4EABEF6CBE3B9ABBFAACBB5C3F7205F382E3238B2CCD6F7C8CEB8C45F&gt;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