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jc w:val="center"/>
        <w:rPr>
          <w:rFonts w:ascii="黑体" w:hAnsi="黑体" w:eastAsia="黑体" w:cs="黑体"/>
          <w:sz w:val="52"/>
          <w:szCs w:val="52"/>
        </w:rPr>
      </w:pPr>
      <w:r>
        <w:rPr>
          <w:rFonts w:hint="eastAsia" w:ascii="黑体" w:hAnsi="黑体" w:eastAsia="黑体" w:cs="黑体"/>
          <w:sz w:val="52"/>
          <w:szCs w:val="52"/>
        </w:rPr>
        <w:t>淮阳县水利局</w:t>
      </w:r>
    </w:p>
    <w:p>
      <w:pPr>
        <w:spacing w:before="285"/>
        <w:ind w:left="2273" w:right="-63"/>
        <w:rPr>
          <w:rFonts w:ascii="黑体" w:eastAsia="黑体"/>
          <w:sz w:val="52"/>
        </w:rPr>
      </w:pPr>
      <w:r>
        <w:rPr>
          <w:rFonts w:ascii="黑体" w:eastAsia="黑体"/>
          <w:sz w:val="52"/>
        </w:rPr>
        <w:t xml:space="preserve">2017 </w:t>
      </w:r>
      <w:r>
        <w:rPr>
          <w:rFonts w:hint="eastAsia" w:ascii="黑体" w:eastAsia="黑体"/>
          <w:sz w:val="52"/>
        </w:rPr>
        <w:t>年度部门决算</w:t>
      </w:r>
    </w:p>
    <w:p>
      <w:pPr>
        <w:pStyle w:val="2"/>
        <w:jc w:val="center"/>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spacing w:before="2"/>
        <w:rPr>
          <w:rFonts w:ascii="黑体"/>
          <w:sz w:val="49"/>
        </w:rPr>
      </w:pPr>
    </w:p>
    <w:p>
      <w:pPr>
        <w:pStyle w:val="2"/>
        <w:ind w:left="2273" w:right="2175"/>
        <w:jc w:val="center"/>
        <w:rPr>
          <w:rFonts w:ascii="黑体" w:eastAsia="黑体"/>
        </w:rPr>
      </w:pPr>
      <w:r>
        <w:rPr>
          <w:rFonts w:hint="eastAsia" w:ascii="黑体" w:eastAsia="黑体"/>
        </w:rPr>
        <w:t>二〇一八年八月</w:t>
      </w:r>
    </w:p>
    <w:p>
      <w:pPr>
        <w:jc w:val="center"/>
        <w:sectPr>
          <w:headerReference r:id="rId5" w:type="first"/>
          <w:footerReference r:id="rId8" w:type="first"/>
          <w:headerReference r:id="rId3" w:type="default"/>
          <w:footerReference r:id="rId6" w:type="default"/>
          <w:headerReference r:id="rId4" w:type="even"/>
          <w:footerReference r:id="rId7" w:type="even"/>
          <w:type w:val="continuous"/>
          <w:pgSz w:w="11910" w:h="16840"/>
          <w:pgMar w:top="1600" w:right="570" w:bottom="1180" w:left="1480" w:header="720" w:footer="999" w:gutter="0"/>
          <w:pgNumType w:start="1"/>
          <w:cols w:space="720" w:num="1"/>
        </w:sectPr>
      </w:pPr>
    </w:p>
    <w:p>
      <w:pPr>
        <w:tabs>
          <w:tab w:val="left" w:pos="3420"/>
        </w:tabs>
        <w:spacing w:before="26"/>
        <w:jc w:val="center"/>
        <w:rPr>
          <w:rFonts w:ascii="黑体" w:eastAsia="黑体"/>
          <w:sz w:val="36"/>
        </w:rPr>
      </w:pPr>
      <w:r>
        <w:rPr>
          <w:rFonts w:hint="eastAsia" w:ascii="黑体" w:eastAsia="黑体"/>
          <w:sz w:val="36"/>
        </w:rPr>
        <w:t>目</w:t>
      </w:r>
      <w:r>
        <w:rPr>
          <w:rFonts w:ascii="黑体" w:eastAsia="黑体"/>
          <w:sz w:val="36"/>
        </w:rPr>
        <w:t xml:space="preserve">    </w:t>
      </w:r>
      <w:r>
        <w:rPr>
          <w:rFonts w:hint="eastAsia" w:ascii="黑体" w:eastAsia="黑体"/>
          <w:sz w:val="36"/>
        </w:rPr>
        <w:t>录</w:t>
      </w:r>
    </w:p>
    <w:p>
      <w:pPr>
        <w:pStyle w:val="2"/>
        <w:tabs>
          <w:tab w:val="left" w:pos="2027"/>
        </w:tabs>
        <w:spacing w:before="198"/>
        <w:ind w:left="108" w:leftChars="49" w:firstLine="640" w:firstLineChars="200"/>
        <w:rPr>
          <w:rFonts w:ascii="黑体" w:eastAsia="黑体"/>
        </w:rPr>
      </w:pPr>
      <w:r>
        <w:rPr>
          <w:rFonts w:hint="eastAsia" w:ascii="黑体" w:eastAsia="黑体"/>
        </w:rPr>
        <w:t>第一部分</w:t>
      </w:r>
      <w:r>
        <w:rPr>
          <w:rFonts w:ascii="黑体" w:eastAsia="黑体"/>
        </w:rPr>
        <w:t xml:space="preserve"> </w:t>
      </w:r>
      <w:r>
        <w:rPr>
          <w:rFonts w:hint="eastAsia" w:ascii="黑体" w:eastAsia="黑体"/>
        </w:rPr>
        <w:t>淮阳县水利局概况</w:t>
      </w:r>
    </w:p>
    <w:p>
      <w:pPr>
        <w:pStyle w:val="2"/>
        <w:spacing w:before="225" w:line="372" w:lineRule="auto"/>
        <w:ind w:left="747" w:right="6233"/>
        <w:rPr>
          <w:rFonts w:ascii="宋体" w:eastAsia="宋体"/>
        </w:rPr>
      </w:pPr>
      <w:r>
        <w:rPr>
          <w:rFonts w:hint="eastAsia" w:ascii="宋体" w:eastAsia="宋体"/>
        </w:rPr>
        <w:t>一、部门职责二、机构设置</w:t>
      </w:r>
    </w:p>
    <w:p>
      <w:pPr>
        <w:pStyle w:val="2"/>
        <w:tabs>
          <w:tab w:val="left" w:pos="2027"/>
        </w:tabs>
        <w:spacing w:line="406" w:lineRule="exact"/>
        <w:ind w:left="108" w:leftChars="49" w:firstLine="640" w:firstLineChars="200"/>
        <w:rPr>
          <w:rFonts w:ascii="黑体" w:eastAsia="黑体"/>
        </w:rPr>
      </w:pPr>
      <w:r>
        <w:rPr>
          <w:rFonts w:hint="eastAsia" w:ascii="黑体" w:eastAsia="黑体"/>
        </w:rPr>
        <w:t>第二部分</w:t>
      </w:r>
      <w:r>
        <w:rPr>
          <w:rFonts w:ascii="黑体" w:eastAsia="黑体"/>
        </w:rPr>
        <w:t xml:space="preserve"> 2017</w:t>
      </w:r>
      <w:r>
        <w:rPr>
          <w:rFonts w:ascii="黑体" w:eastAsia="黑体"/>
          <w:spacing w:val="-82"/>
        </w:rPr>
        <w:t xml:space="preserve"> </w:t>
      </w:r>
      <w:r>
        <w:rPr>
          <w:rFonts w:hint="eastAsia" w:ascii="黑体" w:eastAsia="黑体"/>
        </w:rPr>
        <w:t>年度部门决算表</w:t>
      </w:r>
    </w:p>
    <w:p>
      <w:pPr>
        <w:pStyle w:val="2"/>
        <w:spacing w:before="225" w:line="372" w:lineRule="auto"/>
        <w:ind w:left="747" w:right="4954"/>
        <w:rPr>
          <w:rFonts w:ascii="宋体" w:eastAsia="宋体"/>
        </w:rPr>
      </w:pPr>
      <w:r>
        <w:rPr>
          <w:rFonts w:hint="eastAsia" w:ascii="宋体" w:eastAsia="宋体"/>
          <w:spacing w:val="-2"/>
        </w:rPr>
        <w:t>一、收入支出决算总表</w:t>
      </w:r>
      <w:r>
        <w:rPr>
          <w:rFonts w:hint="eastAsia" w:ascii="宋体" w:eastAsia="宋体"/>
        </w:rPr>
        <w:t>二、收入决算表</w:t>
      </w:r>
    </w:p>
    <w:p>
      <w:pPr>
        <w:pStyle w:val="2"/>
        <w:spacing w:line="406" w:lineRule="exact"/>
        <w:ind w:left="747"/>
        <w:rPr>
          <w:rFonts w:ascii="宋体" w:eastAsia="宋体"/>
        </w:rPr>
      </w:pPr>
      <w:r>
        <w:rPr>
          <w:rFonts w:hint="eastAsia" w:ascii="宋体" w:eastAsia="宋体"/>
          <w:spacing w:val="-1"/>
        </w:rPr>
        <w:t>三、支出决算表</w:t>
      </w:r>
    </w:p>
    <w:p>
      <w:pPr>
        <w:pStyle w:val="2"/>
        <w:spacing w:before="224"/>
        <w:ind w:left="747"/>
        <w:rPr>
          <w:rFonts w:ascii="宋体" w:eastAsia="宋体"/>
        </w:rPr>
      </w:pPr>
      <w:r>
        <w:rPr>
          <w:rFonts w:hint="eastAsia" w:ascii="宋体" w:eastAsia="宋体"/>
        </w:rPr>
        <w:t>四、财政拨款收入支出决算总表</w:t>
      </w:r>
    </w:p>
    <w:p>
      <w:pPr>
        <w:pStyle w:val="2"/>
        <w:spacing w:before="224"/>
        <w:ind w:left="747"/>
        <w:rPr>
          <w:rFonts w:ascii="宋体" w:eastAsia="宋体"/>
        </w:rPr>
      </w:pPr>
      <w:r>
        <w:rPr>
          <w:rFonts w:hint="eastAsia" w:ascii="宋体" w:eastAsia="宋体"/>
        </w:rPr>
        <w:t>五、一般公共预算财政拨款支出决算表</w:t>
      </w:r>
    </w:p>
    <w:p>
      <w:pPr>
        <w:pStyle w:val="2"/>
        <w:spacing w:before="224"/>
        <w:ind w:left="747"/>
        <w:rPr>
          <w:rFonts w:ascii="宋体" w:eastAsia="宋体"/>
        </w:rPr>
      </w:pPr>
      <w:r>
        <w:rPr>
          <w:rFonts w:hint="eastAsia" w:ascii="宋体" w:eastAsia="宋体"/>
        </w:rPr>
        <w:t>六、一般公共预算财政拨款基本支出决算表</w:t>
      </w:r>
    </w:p>
    <w:p>
      <w:pPr>
        <w:pStyle w:val="2"/>
        <w:spacing w:before="224" w:line="372" w:lineRule="auto"/>
        <w:ind w:left="747" w:right="795"/>
        <w:rPr>
          <w:rFonts w:ascii="宋体" w:hAnsi="宋体" w:eastAsia="宋体"/>
        </w:rPr>
      </w:pPr>
      <w:r>
        <w:rPr>
          <w:rFonts w:hint="eastAsia" w:ascii="宋体" w:hAnsi="宋体" w:eastAsia="宋体"/>
        </w:rPr>
        <w:t>七、一般公共预算财政拨款“三公”经费支出决算表八、政府性基金预算财政拨款收入支出决算表</w:t>
      </w:r>
    </w:p>
    <w:p>
      <w:pPr>
        <w:pStyle w:val="2"/>
        <w:tabs>
          <w:tab w:val="left" w:pos="2026"/>
        </w:tabs>
        <w:spacing w:line="406" w:lineRule="exact"/>
        <w:ind w:left="108" w:leftChars="49" w:firstLine="640" w:firstLineChars="200"/>
        <w:rPr>
          <w:rFonts w:ascii="黑体" w:eastAsia="黑体"/>
        </w:rPr>
      </w:pPr>
      <w:r>
        <w:rPr>
          <w:rFonts w:hint="eastAsia" w:ascii="黑体" w:eastAsia="黑体"/>
        </w:rPr>
        <w:t>第三部分</w:t>
      </w:r>
      <w:r>
        <w:rPr>
          <w:rFonts w:ascii="黑体" w:eastAsia="黑体"/>
        </w:rPr>
        <w:tab/>
      </w:r>
      <w:r>
        <w:rPr>
          <w:rFonts w:ascii="黑体" w:eastAsia="黑体"/>
        </w:rPr>
        <w:t xml:space="preserve"> 2017</w:t>
      </w:r>
      <w:r>
        <w:rPr>
          <w:rFonts w:ascii="黑体" w:eastAsia="黑体"/>
          <w:spacing w:val="-82"/>
        </w:rPr>
        <w:t xml:space="preserve"> </w:t>
      </w:r>
      <w:r>
        <w:rPr>
          <w:rFonts w:hint="eastAsia" w:ascii="黑体" w:eastAsia="黑体"/>
        </w:rPr>
        <w:t>年度部门决算情况说明</w:t>
      </w:r>
    </w:p>
    <w:p>
      <w:pPr>
        <w:pStyle w:val="2"/>
        <w:spacing w:before="225" w:line="372" w:lineRule="auto"/>
        <w:ind w:left="747" w:right="3675"/>
        <w:rPr>
          <w:rFonts w:ascii="宋体" w:eastAsia="宋体"/>
        </w:rPr>
      </w:pPr>
      <w:r>
        <w:rPr>
          <w:rFonts w:hint="eastAsia" w:ascii="宋体" w:eastAsia="宋体"/>
          <w:spacing w:val="-1"/>
        </w:rPr>
        <w:t>一、收入支出决算总体情况说明二、收入决算情况说明</w:t>
      </w:r>
    </w:p>
    <w:p>
      <w:pPr>
        <w:pStyle w:val="2"/>
        <w:spacing w:line="406" w:lineRule="exact"/>
        <w:ind w:left="747"/>
        <w:rPr>
          <w:rFonts w:ascii="宋体" w:eastAsia="宋体"/>
        </w:rPr>
      </w:pPr>
      <w:r>
        <w:rPr>
          <w:rFonts w:hint="eastAsia" w:ascii="宋体" w:eastAsia="宋体"/>
          <w:spacing w:val="-1"/>
        </w:rPr>
        <w:t>三、支出决算情况说明</w:t>
      </w:r>
    </w:p>
    <w:p>
      <w:pPr>
        <w:pStyle w:val="2"/>
        <w:spacing w:before="225"/>
        <w:ind w:left="747"/>
        <w:rPr>
          <w:rFonts w:ascii="宋体" w:eastAsia="宋体"/>
        </w:rPr>
      </w:pPr>
      <w:r>
        <w:rPr>
          <w:rFonts w:hint="eastAsia" w:ascii="宋体" w:eastAsia="宋体"/>
        </w:rPr>
        <w:t>四、财政拨款收入支出决算总体情况说明</w:t>
      </w:r>
    </w:p>
    <w:p>
      <w:pPr>
        <w:pStyle w:val="2"/>
        <w:spacing w:before="224"/>
        <w:ind w:left="747"/>
        <w:rPr>
          <w:rFonts w:ascii="宋体" w:eastAsia="宋体"/>
        </w:rPr>
      </w:pPr>
      <w:r>
        <w:rPr>
          <w:rFonts w:hint="eastAsia" w:ascii="宋体" w:eastAsia="宋体"/>
        </w:rPr>
        <w:t>五、一般公共预算财政拨款支出决算情况说明</w:t>
      </w:r>
    </w:p>
    <w:p>
      <w:pPr>
        <w:pStyle w:val="2"/>
        <w:spacing w:before="223"/>
        <w:ind w:left="747"/>
        <w:rPr>
          <w:rFonts w:ascii="宋体" w:eastAsia="宋体"/>
        </w:rPr>
      </w:pPr>
      <w:r>
        <w:rPr>
          <w:rFonts w:hint="eastAsia" w:ascii="宋体" w:eastAsia="宋体"/>
        </w:rPr>
        <w:t>六、一般公共预算财政拨款基本支出决算情况说明</w:t>
      </w:r>
    </w:p>
    <w:p>
      <w:pPr>
        <w:pStyle w:val="2"/>
        <w:spacing w:before="225"/>
        <w:ind w:left="747"/>
        <w:rPr>
          <w:rFonts w:ascii="宋体" w:eastAsia="宋体"/>
          <w:spacing w:val="-20"/>
        </w:rPr>
      </w:pPr>
      <w:r>
        <w:rPr>
          <w:rFonts w:hint="eastAsia" w:ascii="宋体" w:hAnsi="宋体" w:eastAsia="宋体"/>
          <w:spacing w:val="-20"/>
        </w:rPr>
        <w:t>七、一般公共预算财政拨款“三公”经费支出决算情况说</w:t>
      </w:r>
      <w:r>
        <w:rPr>
          <w:rFonts w:hint="eastAsia" w:ascii="宋体" w:eastAsia="宋体"/>
          <w:spacing w:val="-20"/>
        </w:rPr>
        <w:t>明</w:t>
      </w:r>
    </w:p>
    <w:p>
      <w:pPr>
        <w:sectPr>
          <w:pgSz w:w="11910" w:h="16840"/>
          <w:pgMar w:top="1500" w:right="1520" w:bottom="1180" w:left="1480" w:header="0" w:footer="999" w:gutter="0"/>
          <w:cols w:space="720" w:num="1"/>
        </w:sectPr>
      </w:pPr>
    </w:p>
    <w:p>
      <w:pPr>
        <w:pStyle w:val="2"/>
        <w:spacing w:before="32"/>
        <w:ind w:left="747"/>
        <w:rPr>
          <w:rFonts w:ascii="宋体" w:eastAsia="宋体"/>
          <w:color w:val="FF0000"/>
        </w:rPr>
      </w:pPr>
      <w:r>
        <w:rPr>
          <w:rFonts w:hint="eastAsia" w:ascii="宋体" w:eastAsia="宋体"/>
        </w:rPr>
        <w:t>八</w:t>
      </w:r>
      <w:r>
        <w:rPr>
          <w:rFonts w:hint="eastAsia" w:ascii="宋体" w:eastAsia="宋体"/>
          <w:color w:val="000000" w:themeColor="text1"/>
        </w:rPr>
        <w:t>、预算绩效情况说明</w:t>
      </w:r>
    </w:p>
    <w:p>
      <w:pPr>
        <w:pStyle w:val="2"/>
        <w:spacing w:before="223" w:line="372" w:lineRule="auto"/>
        <w:ind w:left="747" w:right="1434"/>
        <w:rPr>
          <w:rFonts w:ascii="宋体" w:eastAsia="宋体"/>
        </w:rPr>
      </w:pPr>
      <w:r>
        <w:rPr>
          <w:rFonts w:hint="eastAsia" w:ascii="宋体" w:eastAsia="宋体"/>
        </w:rPr>
        <w:t>九、政府性基金预算财政拨款支出决算情况说明十、机关运行经费支出情况说明</w:t>
      </w:r>
    </w:p>
    <w:p>
      <w:pPr>
        <w:pStyle w:val="2"/>
        <w:spacing w:line="372" w:lineRule="auto"/>
        <w:ind w:left="747" w:right="3994"/>
        <w:rPr>
          <w:rFonts w:ascii="宋体" w:eastAsia="宋体"/>
        </w:rPr>
      </w:pPr>
      <w:r>
        <w:rPr>
          <w:rFonts w:hint="eastAsia" w:ascii="宋体" w:eastAsia="宋体"/>
        </w:rPr>
        <w:t>十一、政府采购支出情况说明十二、国有资产占用情况说明</w:t>
      </w:r>
    </w:p>
    <w:p>
      <w:pPr>
        <w:pStyle w:val="2"/>
        <w:tabs>
          <w:tab w:val="left" w:pos="2027"/>
        </w:tabs>
        <w:spacing w:line="407" w:lineRule="exact"/>
        <w:ind w:left="108" w:leftChars="49" w:firstLine="640" w:firstLineChars="200"/>
        <w:rPr>
          <w:rFonts w:ascii="黑体" w:eastAsia="黑体"/>
        </w:rPr>
      </w:pPr>
      <w:r>
        <w:rPr>
          <w:rFonts w:hint="eastAsia" w:ascii="黑体" w:eastAsia="黑体"/>
        </w:rPr>
        <w:t>第四部分</w:t>
      </w:r>
      <w:r>
        <w:rPr>
          <w:rFonts w:ascii="黑体" w:eastAsia="黑体"/>
        </w:rPr>
        <w:tab/>
      </w:r>
      <w:r>
        <w:rPr>
          <w:rFonts w:hint="eastAsia" w:ascii="黑体" w:eastAsia="黑体"/>
        </w:rPr>
        <w:t>名词解释</w:t>
      </w:r>
    </w:p>
    <w:p>
      <w:pPr>
        <w:spacing w:line="407" w:lineRule="exact"/>
        <w:sectPr>
          <w:pgSz w:w="11910" w:h="16840"/>
          <w:pgMar w:top="1520" w:right="1520" w:bottom="1180" w:left="1480" w:header="0" w:footer="999" w:gutter="0"/>
          <w:cols w:space="720" w:num="1"/>
        </w:sect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spacing w:before="2"/>
        <w:rPr>
          <w:rFonts w:ascii="黑体"/>
          <w:sz w:val="26"/>
        </w:rPr>
      </w:pPr>
    </w:p>
    <w:p>
      <w:pPr>
        <w:tabs>
          <w:tab w:val="left" w:pos="3993"/>
        </w:tabs>
        <w:spacing w:before="32"/>
        <w:jc w:val="center"/>
        <w:rPr>
          <w:rFonts w:ascii="黑体" w:eastAsia="黑体"/>
          <w:sz w:val="48"/>
        </w:rPr>
      </w:pPr>
      <w:r>
        <w:rPr>
          <w:rFonts w:hint="eastAsia" w:ascii="黑体" w:eastAsia="黑体"/>
          <w:sz w:val="48"/>
        </w:rPr>
        <w:t>第一部分</w:t>
      </w:r>
    </w:p>
    <w:p>
      <w:pPr>
        <w:tabs>
          <w:tab w:val="left" w:pos="3993"/>
        </w:tabs>
        <w:spacing w:before="32"/>
        <w:jc w:val="center"/>
        <w:rPr>
          <w:rFonts w:ascii="黑体" w:eastAsia="黑体"/>
          <w:sz w:val="48"/>
        </w:rPr>
      </w:pPr>
      <w:r>
        <w:rPr>
          <w:rFonts w:hint="eastAsia" w:ascii="黑体" w:eastAsia="黑体"/>
          <w:sz w:val="48"/>
        </w:rPr>
        <w:t>淮阳县水利局概况</w:t>
      </w:r>
    </w:p>
    <w:p>
      <w:pPr>
        <w:sectPr>
          <w:footerReference r:id="rId9" w:type="default"/>
          <w:pgSz w:w="11910" w:h="16840"/>
          <w:pgMar w:top="1600" w:right="1520" w:bottom="920" w:left="1480" w:header="0" w:footer="726" w:gutter="0"/>
          <w:pgNumType w:start="1"/>
          <w:cols w:space="720" w:num="1"/>
        </w:sectPr>
      </w:pPr>
    </w:p>
    <w:p>
      <w:pPr>
        <w:widowControl/>
        <w:ind w:firstLine="640" w:firstLineChars="200"/>
        <w:rPr>
          <w:rFonts w:ascii="黑体" w:hAnsi="黑体" w:eastAsia="黑体" w:cs="黑体"/>
          <w:sz w:val="32"/>
          <w:szCs w:val="32"/>
        </w:rPr>
      </w:pPr>
      <w:r>
        <w:rPr>
          <w:rFonts w:hint="eastAsia" w:ascii="黑体" w:hAnsi="黑体" w:eastAsia="黑体" w:cs="黑体"/>
          <w:sz w:val="32"/>
          <w:szCs w:val="32"/>
        </w:rPr>
        <w:t>一、部门职责</w:t>
      </w:r>
    </w:p>
    <w:p>
      <w:pPr>
        <w:widowControl/>
        <w:spacing w:line="590" w:lineRule="exact"/>
        <w:ind w:firstLine="640" w:firstLineChars="200"/>
        <w:rPr>
          <w:rFonts w:hint="eastAsia"/>
          <w:sz w:val="32"/>
          <w:szCs w:val="32"/>
        </w:rPr>
      </w:pPr>
      <w:r>
        <w:rPr>
          <w:rFonts w:hint="eastAsia"/>
          <w:sz w:val="32"/>
          <w:szCs w:val="32"/>
        </w:rPr>
        <w:t>淮阳县水利局设7个股室：办公室、计划基建与工程管理股、防汛抗旱办公室、财务审计股、人事股、水政水资源行政审批股、农村水利股。淮阳县水利局有7个预算单位构成，分别为淮阳县节约用水办公室、淮阳县水政监察大队、淮阳县沙河管理段、淮阳县新运河管理段、淮阳县新蔡河管理段、淮阳县黑河管理段、淮阳县水利技术指导站。</w:t>
      </w:r>
    </w:p>
    <w:p>
      <w:pPr>
        <w:widowControl/>
        <w:spacing w:line="590" w:lineRule="exact"/>
        <w:ind w:firstLine="640" w:firstLineChars="200"/>
        <w:rPr>
          <w:rFonts w:hint="eastAsia"/>
          <w:sz w:val="32"/>
          <w:szCs w:val="32"/>
        </w:rPr>
      </w:pPr>
      <w:r>
        <w:rPr>
          <w:rFonts w:hint="eastAsia"/>
          <w:sz w:val="32"/>
          <w:szCs w:val="32"/>
        </w:rPr>
        <w:t>淮阳县水利局主要职责是：</w:t>
      </w:r>
    </w:p>
    <w:p>
      <w:pPr>
        <w:widowControl/>
        <w:spacing w:line="590" w:lineRule="exact"/>
        <w:ind w:firstLine="640" w:firstLineChars="200"/>
        <w:rPr>
          <w:rFonts w:hint="eastAsia"/>
          <w:sz w:val="32"/>
          <w:szCs w:val="32"/>
        </w:rPr>
      </w:pPr>
      <w:r>
        <w:rPr>
          <w:rFonts w:hint="eastAsia"/>
          <w:sz w:val="32"/>
          <w:szCs w:val="32"/>
        </w:rPr>
        <w:t>（一）负责保障水资源合理开发利用，拟订全县水利战略规划、水生态文明建设规划和政策，组织编制水利综合规划、专业规划和专项规划。按规定制定水利工程建设有关制度并组织实施，负责提出全县水利投资方向和项目安排意见，拟订全县水利投资规模及项目投资计划并监督实施。</w:t>
      </w:r>
    </w:p>
    <w:p>
      <w:pPr>
        <w:widowControl/>
        <w:spacing w:line="590" w:lineRule="exact"/>
        <w:ind w:firstLine="640" w:firstLineChars="200"/>
        <w:rPr>
          <w:rFonts w:hint="eastAsia"/>
          <w:sz w:val="32"/>
          <w:szCs w:val="32"/>
        </w:rPr>
      </w:pPr>
      <w:r>
        <w:rPr>
          <w:rFonts w:hint="eastAsia"/>
          <w:sz w:val="32"/>
          <w:szCs w:val="32"/>
        </w:rPr>
        <w:t>（二）负责生活、生产经营和生态环境用水的统筹兼顾和保障。实行全县水资源统一管理和监督，拟订全县和跨乡（镇）水中长期供求规划、水量分配方案并监督实施，组织开展水资源调查评价工作，承担水能资源调查工作，负责江河湖库和重要水工程的水资源调度，组织实施用水总量控制、取水许可、水资源有偿使用制度和水资源论证、防洪论证制度以及水资源费征收使用制度。指导水利行业和乡镇供水工作。</w:t>
      </w:r>
    </w:p>
    <w:p>
      <w:pPr>
        <w:widowControl/>
        <w:spacing w:line="590" w:lineRule="exact"/>
        <w:ind w:firstLine="640" w:firstLineChars="200"/>
        <w:rPr>
          <w:rFonts w:hint="eastAsia"/>
          <w:sz w:val="32"/>
          <w:szCs w:val="32"/>
        </w:rPr>
      </w:pPr>
      <w:r>
        <w:rPr>
          <w:rFonts w:hint="eastAsia"/>
          <w:sz w:val="32"/>
          <w:szCs w:val="32"/>
        </w:rPr>
        <w:t>（三）负责水资源保护工作。组织编制全县水资源保护规划，拟订水功能区划并监督实施，核定水域纳污能力，提出限制排污总量的建议，指导饮用水水源保护工作，指导地下水开发利用和城市规划区地下水资源管理保护工作。负责最严格水资源管理制度贯彻落实工作，开展水生态系统保护与修复，指导和推进水生态文明建设，组织开展重要江河湖泊健康评估。</w:t>
      </w:r>
    </w:p>
    <w:p>
      <w:pPr>
        <w:widowControl/>
        <w:spacing w:line="590" w:lineRule="exact"/>
        <w:ind w:firstLine="640" w:firstLineChars="200"/>
        <w:rPr>
          <w:rFonts w:hint="eastAsia"/>
          <w:sz w:val="32"/>
          <w:szCs w:val="32"/>
        </w:rPr>
      </w:pPr>
      <w:r>
        <w:rPr>
          <w:rFonts w:hint="eastAsia"/>
          <w:sz w:val="32"/>
          <w:szCs w:val="32"/>
        </w:rPr>
        <w:t>（四）负责防治水旱灾害，承担淮阳县防汛抗旱指挥部的具体工作。组织、协调、监督、指挥全县防汛抗旱工作，负责对江河湖库和重要水工程实施防汛抗旱调度和应急水量调度，编制全县防汛抗旱应急预案、抗旱规划并组织实施。指导水利突发公共事件应急管理工作。</w:t>
      </w:r>
    </w:p>
    <w:p>
      <w:pPr>
        <w:widowControl/>
        <w:spacing w:line="590" w:lineRule="exact"/>
        <w:ind w:firstLine="640" w:firstLineChars="200"/>
        <w:rPr>
          <w:rFonts w:hint="eastAsia"/>
          <w:sz w:val="32"/>
          <w:szCs w:val="32"/>
        </w:rPr>
      </w:pPr>
      <w:r>
        <w:rPr>
          <w:rFonts w:hint="eastAsia"/>
          <w:sz w:val="32"/>
          <w:szCs w:val="32"/>
        </w:rPr>
        <w:t>（五）负责节约用水工作。拟订全县节约用水政策，编制节约用水规划，制定有关用水、节水标准，指导全县计划用水工作，组织、管理、监督节约用水工作，指导和推动节水型社会建设工作。</w:t>
      </w:r>
    </w:p>
    <w:p>
      <w:pPr>
        <w:widowControl/>
        <w:spacing w:line="590" w:lineRule="exact"/>
        <w:ind w:firstLine="640" w:firstLineChars="200"/>
        <w:rPr>
          <w:rFonts w:hint="eastAsia"/>
          <w:sz w:val="32"/>
          <w:szCs w:val="32"/>
        </w:rPr>
      </w:pPr>
      <w:r>
        <w:rPr>
          <w:rFonts w:hint="eastAsia"/>
          <w:sz w:val="32"/>
          <w:szCs w:val="32"/>
        </w:rPr>
        <w:t>（六）编制、审查申报全县大中型水利基本建设项目建议书、可行性研究报告和初步设计。负责县管水利基建项目初步设计文件审批工作。</w:t>
      </w:r>
    </w:p>
    <w:p>
      <w:pPr>
        <w:widowControl/>
        <w:spacing w:line="590" w:lineRule="exact"/>
        <w:ind w:firstLine="640" w:firstLineChars="200"/>
        <w:rPr>
          <w:rFonts w:hint="eastAsia"/>
          <w:sz w:val="32"/>
          <w:szCs w:val="32"/>
        </w:rPr>
      </w:pPr>
      <w:r>
        <w:rPr>
          <w:rFonts w:hint="eastAsia"/>
          <w:sz w:val="32"/>
          <w:szCs w:val="32"/>
        </w:rPr>
        <w:t>（七）负责全县水利设施、水域及其岸线的管理和保护，指导江河湖库及滩地的治理和开发。指导水利工程建设与运行管理，负责水利工程质量监督检查工作，承担水利工程造价管理工作，组织具有控制性的或跨乡（镇）的重要水利工程建设、验收与运行管理工作，承担相应责任。</w:t>
      </w:r>
    </w:p>
    <w:p>
      <w:pPr>
        <w:widowControl/>
        <w:spacing w:line="590" w:lineRule="exact"/>
        <w:ind w:firstLine="640" w:firstLineChars="200"/>
        <w:rPr>
          <w:rFonts w:hint="eastAsia"/>
          <w:sz w:val="32"/>
          <w:szCs w:val="32"/>
        </w:rPr>
      </w:pPr>
      <w:r>
        <w:rPr>
          <w:rFonts w:hint="eastAsia"/>
          <w:sz w:val="32"/>
          <w:szCs w:val="32"/>
        </w:rPr>
        <w:t>（八）负责防治水土流失。拟订全县水土保持规划并监督实施，组织实施水土流失综合防治、监测预报并定期公告，负责县管有关重大建设项目水土保持方案的审批、监督实施及水土保持设施的验收工作并承担相应责任，负责水土保持补偿费征收管理工作。指导县重点水土保持建设项目实施。</w:t>
      </w:r>
    </w:p>
    <w:p>
      <w:pPr>
        <w:widowControl/>
        <w:spacing w:line="590" w:lineRule="exact"/>
        <w:ind w:firstLine="640" w:firstLineChars="200"/>
        <w:rPr>
          <w:rFonts w:hint="eastAsia"/>
          <w:sz w:val="32"/>
          <w:szCs w:val="32"/>
        </w:rPr>
      </w:pPr>
      <w:r>
        <w:rPr>
          <w:rFonts w:hint="eastAsia"/>
          <w:sz w:val="32"/>
          <w:szCs w:val="32"/>
        </w:rPr>
        <w:t>（九）指导农村水利工作。组织协调农田水利基本建设，指导农村饮水安全、大中型灌区、农田水利、节水灌溉等工程建设与管理工作，指导农村水利社会化服务体系建设。</w:t>
      </w:r>
    </w:p>
    <w:p>
      <w:pPr>
        <w:widowControl/>
        <w:spacing w:line="590" w:lineRule="exact"/>
        <w:ind w:firstLine="640" w:firstLineChars="200"/>
        <w:rPr>
          <w:rFonts w:hint="eastAsia"/>
          <w:sz w:val="32"/>
          <w:szCs w:val="32"/>
        </w:rPr>
      </w:pPr>
      <w:r>
        <w:rPr>
          <w:rFonts w:hint="eastAsia"/>
          <w:sz w:val="32"/>
          <w:szCs w:val="32"/>
        </w:rPr>
        <w:t>（十）负责重大涉水违法事件查处工作，指导全县水政监察和水行政执法，协调、仲裁并处理跨乡（镇）水事纠纷。依法负责水利行业安全生产工作，指导水利建设市场的监督管理工作，组织开展水利工程建设监督和稽察工作。</w:t>
      </w:r>
    </w:p>
    <w:p>
      <w:pPr>
        <w:widowControl/>
        <w:spacing w:line="590" w:lineRule="exact"/>
        <w:ind w:firstLine="640" w:firstLineChars="200"/>
        <w:rPr>
          <w:rFonts w:hint="eastAsia"/>
          <w:sz w:val="32"/>
          <w:szCs w:val="32"/>
        </w:rPr>
      </w:pPr>
      <w:r>
        <w:rPr>
          <w:rFonts w:hint="eastAsia"/>
          <w:sz w:val="32"/>
          <w:szCs w:val="32"/>
        </w:rPr>
        <w:t>（十一）开展全县水利科技和外事工作。指导全县水利队伍建设。组织开展水利行业质量监督工作，监督水利行业技术标准、规程规范实施。承担水利统计工作。组织开展对外水利经济技术合作与交流。</w:t>
      </w:r>
    </w:p>
    <w:p>
      <w:pPr>
        <w:widowControl/>
        <w:spacing w:line="590" w:lineRule="exact"/>
        <w:ind w:firstLine="640" w:firstLineChars="200"/>
        <w:rPr>
          <w:rFonts w:hint="eastAsia"/>
          <w:sz w:val="32"/>
          <w:szCs w:val="32"/>
        </w:rPr>
      </w:pPr>
      <w:r>
        <w:rPr>
          <w:rFonts w:hint="eastAsia"/>
          <w:sz w:val="32"/>
          <w:szCs w:val="32"/>
        </w:rPr>
        <w:t>（十二）负责移民工作。编制移民规划、计划；组织、指导移民搬迁、安置和后期扶持工作；管理和监督移民资金的使用；负责监督全县水利水电工程征地移民工作。</w:t>
      </w:r>
    </w:p>
    <w:p>
      <w:pPr>
        <w:widowControl/>
        <w:spacing w:line="590" w:lineRule="exact"/>
        <w:ind w:firstLine="640" w:firstLineChars="200"/>
        <w:rPr>
          <w:rFonts w:hint="eastAsia"/>
          <w:sz w:val="32"/>
          <w:szCs w:val="32"/>
        </w:rPr>
      </w:pPr>
      <w:r>
        <w:rPr>
          <w:rFonts w:hint="eastAsia"/>
          <w:sz w:val="32"/>
          <w:szCs w:val="32"/>
        </w:rPr>
        <w:t>（十三）承办县政府交办的其他事项。</w:t>
      </w:r>
    </w:p>
    <w:p>
      <w:pPr>
        <w:widowControl/>
        <w:ind w:firstLine="640" w:firstLineChars="200"/>
        <w:rPr>
          <w:rFonts w:ascii="黑体" w:hAnsi="黑体" w:eastAsia="黑体" w:cs="黑体"/>
          <w:sz w:val="32"/>
          <w:szCs w:val="32"/>
        </w:rPr>
      </w:pPr>
      <w:r>
        <w:rPr>
          <w:rFonts w:hint="eastAsia" w:ascii="黑体" w:hAnsi="黑体" w:eastAsia="黑体" w:cs="黑体"/>
          <w:sz w:val="32"/>
          <w:szCs w:val="32"/>
        </w:rPr>
        <w:t>二、机构设置</w:t>
      </w:r>
    </w:p>
    <w:p>
      <w:pPr>
        <w:widowControl/>
        <w:spacing w:line="590" w:lineRule="exact"/>
        <w:ind w:firstLine="640" w:firstLineChars="200"/>
        <w:rPr>
          <w:rFonts w:hint="eastAsia"/>
          <w:sz w:val="32"/>
          <w:szCs w:val="32"/>
        </w:rPr>
      </w:pPr>
      <w:r>
        <w:rPr>
          <w:rFonts w:hint="eastAsia"/>
          <w:sz w:val="32"/>
          <w:szCs w:val="32"/>
        </w:rPr>
        <w:t>淮阳县水利局有二级预算单位7个。本决算为汇总决算，纳入本部门2017年度部门决算编报范围的二级单位如下：</w:t>
      </w:r>
    </w:p>
    <w:p>
      <w:pPr>
        <w:widowControl/>
        <w:spacing w:line="590" w:lineRule="exact"/>
        <w:ind w:firstLine="640" w:firstLineChars="200"/>
        <w:rPr>
          <w:rFonts w:hint="eastAsia"/>
          <w:sz w:val="32"/>
          <w:szCs w:val="32"/>
        </w:rPr>
      </w:pPr>
      <w:r>
        <w:rPr>
          <w:rFonts w:hint="eastAsia"/>
          <w:sz w:val="32"/>
          <w:szCs w:val="32"/>
        </w:rPr>
        <w:t>1、淮阳县节约用水办公室</w:t>
      </w:r>
    </w:p>
    <w:p>
      <w:pPr>
        <w:widowControl/>
        <w:spacing w:line="590" w:lineRule="exact"/>
        <w:ind w:firstLine="640" w:firstLineChars="200"/>
        <w:rPr>
          <w:rFonts w:hint="eastAsia"/>
          <w:sz w:val="32"/>
          <w:szCs w:val="32"/>
        </w:rPr>
      </w:pPr>
      <w:r>
        <w:rPr>
          <w:rFonts w:hint="eastAsia"/>
          <w:sz w:val="32"/>
          <w:szCs w:val="32"/>
        </w:rPr>
        <w:t>2、淮阳县水政监察大队</w:t>
      </w:r>
    </w:p>
    <w:p>
      <w:pPr>
        <w:widowControl/>
        <w:spacing w:line="590" w:lineRule="exact"/>
        <w:ind w:firstLine="640" w:firstLineChars="200"/>
        <w:rPr>
          <w:rFonts w:hint="eastAsia"/>
          <w:sz w:val="32"/>
          <w:szCs w:val="32"/>
        </w:rPr>
      </w:pPr>
      <w:r>
        <w:rPr>
          <w:rFonts w:hint="eastAsia"/>
          <w:sz w:val="32"/>
          <w:szCs w:val="32"/>
        </w:rPr>
        <w:t>3、淮阳县沙河管理段</w:t>
      </w:r>
    </w:p>
    <w:p>
      <w:pPr>
        <w:widowControl/>
        <w:spacing w:line="590" w:lineRule="exact"/>
        <w:ind w:firstLine="640" w:firstLineChars="200"/>
        <w:rPr>
          <w:rFonts w:hint="eastAsia"/>
          <w:sz w:val="32"/>
          <w:szCs w:val="32"/>
        </w:rPr>
      </w:pPr>
      <w:r>
        <w:rPr>
          <w:rFonts w:hint="eastAsia"/>
          <w:sz w:val="32"/>
          <w:szCs w:val="32"/>
        </w:rPr>
        <w:t>4、淮阳县新运河管理段</w:t>
      </w:r>
    </w:p>
    <w:p>
      <w:pPr>
        <w:widowControl/>
        <w:spacing w:line="590" w:lineRule="exact"/>
        <w:ind w:firstLine="640" w:firstLineChars="200"/>
        <w:rPr>
          <w:rFonts w:hint="eastAsia"/>
          <w:sz w:val="32"/>
          <w:szCs w:val="32"/>
        </w:rPr>
      </w:pPr>
      <w:r>
        <w:rPr>
          <w:rFonts w:hint="eastAsia"/>
          <w:sz w:val="32"/>
          <w:szCs w:val="32"/>
        </w:rPr>
        <w:t>5、淮阳县新蔡河管理段</w:t>
      </w:r>
    </w:p>
    <w:p>
      <w:pPr>
        <w:widowControl/>
        <w:spacing w:line="590" w:lineRule="exact"/>
        <w:ind w:firstLine="640" w:firstLineChars="200"/>
        <w:rPr>
          <w:rFonts w:hint="eastAsia"/>
          <w:sz w:val="32"/>
          <w:szCs w:val="32"/>
        </w:rPr>
      </w:pPr>
      <w:r>
        <w:rPr>
          <w:rFonts w:hint="eastAsia"/>
          <w:sz w:val="32"/>
          <w:szCs w:val="32"/>
        </w:rPr>
        <w:t>6、淮阳县黑河管理段</w:t>
      </w:r>
    </w:p>
    <w:p>
      <w:pPr>
        <w:widowControl/>
        <w:spacing w:line="590" w:lineRule="exact"/>
        <w:ind w:firstLine="640" w:firstLineChars="200"/>
        <w:rPr>
          <w:rFonts w:hint="eastAsia"/>
          <w:sz w:val="32"/>
          <w:szCs w:val="32"/>
        </w:rPr>
      </w:pPr>
      <w:r>
        <w:rPr>
          <w:rFonts w:hint="eastAsia"/>
          <w:sz w:val="32"/>
          <w:szCs w:val="32"/>
        </w:rPr>
        <w:t>7、淮阳县水利技术指导站</w:t>
      </w:r>
    </w:p>
    <w:p>
      <w:pPr>
        <w:pStyle w:val="2"/>
        <w:spacing w:before="2" w:line="364" w:lineRule="auto"/>
        <w:ind w:left="317" w:right="270" w:firstLine="468"/>
        <w:jc w:val="both"/>
      </w:pPr>
    </w:p>
    <w:p>
      <w:pPr>
        <w:pStyle w:val="2"/>
        <w:spacing w:before="2" w:line="364" w:lineRule="auto"/>
        <w:ind w:left="317" w:right="270" w:firstLine="468"/>
        <w:jc w:val="both"/>
      </w:pPr>
    </w:p>
    <w:p>
      <w:pPr>
        <w:pStyle w:val="2"/>
        <w:spacing w:before="2" w:line="364" w:lineRule="auto"/>
        <w:ind w:left="317" w:right="270" w:firstLine="468"/>
        <w:jc w:val="both"/>
      </w:pPr>
    </w:p>
    <w:p>
      <w:pPr>
        <w:pStyle w:val="2"/>
        <w:spacing w:before="2" w:line="364" w:lineRule="auto"/>
        <w:ind w:left="317" w:right="270" w:firstLine="468"/>
        <w:jc w:val="both"/>
      </w:pPr>
    </w:p>
    <w:p>
      <w:pPr>
        <w:pStyle w:val="2"/>
        <w:spacing w:before="2" w:line="364" w:lineRule="auto"/>
        <w:ind w:left="317" w:right="270" w:firstLine="468"/>
        <w:jc w:val="both"/>
      </w:pPr>
    </w:p>
    <w:p>
      <w:pPr>
        <w:pStyle w:val="2"/>
        <w:spacing w:before="2" w:line="364" w:lineRule="auto"/>
        <w:ind w:left="317" w:right="270" w:firstLine="468"/>
        <w:jc w:val="both"/>
      </w:pPr>
    </w:p>
    <w:p>
      <w:pPr>
        <w:pStyle w:val="2"/>
        <w:spacing w:before="2" w:line="364" w:lineRule="auto"/>
        <w:ind w:left="317" w:right="270" w:firstLine="468"/>
        <w:jc w:val="both"/>
      </w:pPr>
    </w:p>
    <w:p>
      <w:pPr>
        <w:pStyle w:val="2"/>
        <w:spacing w:before="2" w:line="364" w:lineRule="auto"/>
        <w:ind w:left="317" w:right="270" w:firstLine="468"/>
        <w:jc w:val="both"/>
      </w:pPr>
    </w:p>
    <w:p>
      <w:pPr>
        <w:pStyle w:val="2"/>
        <w:spacing w:before="2" w:line="364" w:lineRule="auto"/>
        <w:ind w:left="317" w:right="270" w:firstLine="468"/>
        <w:jc w:val="both"/>
      </w:pPr>
    </w:p>
    <w:p>
      <w:pPr>
        <w:pStyle w:val="2"/>
        <w:spacing w:before="2" w:line="364" w:lineRule="auto"/>
        <w:ind w:left="317" w:right="270" w:firstLine="468"/>
        <w:jc w:val="both"/>
      </w:pPr>
    </w:p>
    <w:p>
      <w:pPr>
        <w:pStyle w:val="2"/>
        <w:spacing w:before="2" w:line="364" w:lineRule="auto"/>
        <w:ind w:left="317" w:right="270" w:firstLine="468"/>
        <w:jc w:val="both"/>
      </w:pPr>
    </w:p>
    <w:p>
      <w:pPr>
        <w:pStyle w:val="2"/>
        <w:spacing w:before="2" w:line="364" w:lineRule="auto"/>
        <w:ind w:left="317" w:right="270" w:firstLine="468"/>
        <w:jc w:val="both"/>
      </w:pPr>
    </w:p>
    <w:p>
      <w:pPr>
        <w:pStyle w:val="2"/>
        <w:spacing w:before="2" w:line="364" w:lineRule="auto"/>
        <w:ind w:left="317" w:right="270" w:firstLine="468"/>
        <w:jc w:val="both"/>
      </w:pPr>
    </w:p>
    <w:p>
      <w:pPr>
        <w:pStyle w:val="2"/>
        <w:spacing w:before="2" w:line="364" w:lineRule="auto"/>
        <w:ind w:left="317" w:right="270" w:firstLine="468"/>
        <w:jc w:val="both"/>
      </w:pPr>
    </w:p>
    <w:p>
      <w:pPr>
        <w:pStyle w:val="2"/>
        <w:spacing w:before="2" w:line="364" w:lineRule="auto"/>
        <w:ind w:left="317" w:right="270" w:firstLine="468"/>
        <w:jc w:val="both"/>
      </w:pPr>
    </w:p>
    <w:p>
      <w:pPr>
        <w:pStyle w:val="2"/>
        <w:spacing w:before="2" w:line="364" w:lineRule="auto"/>
        <w:ind w:left="317" w:right="270" w:firstLine="468"/>
        <w:jc w:val="both"/>
      </w:pPr>
    </w:p>
    <w:p>
      <w:pPr>
        <w:pStyle w:val="2"/>
        <w:spacing w:before="2" w:line="364" w:lineRule="auto"/>
        <w:ind w:left="317" w:right="270" w:firstLine="468"/>
        <w:jc w:val="both"/>
      </w:pPr>
    </w:p>
    <w:p>
      <w:pPr>
        <w:pStyle w:val="2"/>
        <w:spacing w:before="2" w:line="364" w:lineRule="auto"/>
        <w:ind w:left="317" w:right="270" w:firstLine="468"/>
        <w:jc w:val="both"/>
      </w:pPr>
    </w:p>
    <w:p>
      <w:pPr>
        <w:pStyle w:val="2"/>
        <w:spacing w:before="2" w:line="364" w:lineRule="auto"/>
        <w:ind w:left="317" w:right="270" w:firstLine="468"/>
        <w:jc w:val="both"/>
      </w:pPr>
    </w:p>
    <w:p>
      <w:pPr>
        <w:pStyle w:val="2"/>
        <w:spacing w:before="2" w:line="364" w:lineRule="auto"/>
        <w:ind w:left="317" w:right="270" w:firstLine="468"/>
        <w:jc w:val="both"/>
      </w:pPr>
    </w:p>
    <w:p>
      <w:pPr>
        <w:pStyle w:val="2"/>
        <w:spacing w:before="2" w:line="364" w:lineRule="auto"/>
        <w:ind w:left="317" w:right="270" w:firstLine="468"/>
        <w:jc w:val="both"/>
      </w:pPr>
    </w:p>
    <w:p>
      <w:pPr>
        <w:pStyle w:val="2"/>
        <w:spacing w:before="2" w:line="364" w:lineRule="auto"/>
        <w:ind w:left="317" w:right="270" w:firstLine="468"/>
        <w:jc w:val="both"/>
      </w:pPr>
    </w:p>
    <w:p>
      <w:pPr>
        <w:pStyle w:val="2"/>
        <w:spacing w:before="2" w:line="364" w:lineRule="auto"/>
        <w:ind w:left="317" w:right="270" w:firstLine="468"/>
        <w:jc w:val="both"/>
      </w:pPr>
    </w:p>
    <w:p>
      <w:pPr>
        <w:pStyle w:val="2"/>
        <w:spacing w:before="2" w:line="364" w:lineRule="auto"/>
        <w:ind w:left="317" w:right="270" w:firstLine="468"/>
        <w:jc w:val="both"/>
      </w:pPr>
    </w:p>
    <w:p>
      <w:pPr>
        <w:tabs>
          <w:tab w:val="left" w:pos="3993"/>
        </w:tabs>
        <w:spacing w:before="32"/>
        <w:jc w:val="center"/>
        <w:rPr>
          <w:rFonts w:ascii="黑体" w:eastAsia="黑体"/>
          <w:sz w:val="48"/>
        </w:rPr>
      </w:pPr>
      <w:r>
        <w:rPr>
          <w:rFonts w:hint="eastAsia" w:ascii="黑体" w:eastAsia="黑体"/>
          <w:sz w:val="48"/>
        </w:rPr>
        <w:t>第二部分</w:t>
      </w:r>
    </w:p>
    <w:p>
      <w:pPr>
        <w:tabs>
          <w:tab w:val="left" w:pos="3993"/>
        </w:tabs>
        <w:spacing w:before="32"/>
        <w:jc w:val="center"/>
        <w:rPr>
          <w:rFonts w:ascii="黑体" w:eastAsia="黑体"/>
          <w:sz w:val="48"/>
        </w:rPr>
      </w:pPr>
      <w:r>
        <w:rPr>
          <w:rFonts w:ascii="黑体" w:eastAsia="黑体"/>
          <w:sz w:val="48"/>
        </w:rPr>
        <w:t xml:space="preserve">2017 </w:t>
      </w:r>
      <w:r>
        <w:rPr>
          <w:rFonts w:hint="eastAsia" w:ascii="黑体" w:eastAsia="黑体"/>
          <w:sz w:val="48"/>
        </w:rPr>
        <w:t>年度部门决算表</w:t>
      </w:r>
    </w:p>
    <w:p>
      <w:pPr>
        <w:pStyle w:val="2"/>
        <w:spacing w:before="2" w:line="364" w:lineRule="auto"/>
        <w:ind w:left="317" w:right="270" w:firstLine="468"/>
        <w:jc w:val="both"/>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widowControl/>
        <w:autoSpaceDE/>
        <w:autoSpaceDN/>
        <w:rPr>
          <w:rFonts w:ascii="Arial" w:hAnsi="Arial" w:eastAsia="宋体" w:cs="Arial"/>
          <w:color w:val="000000"/>
          <w:sz w:val="20"/>
          <w:szCs w:val="20"/>
          <w:lang w:val="en-US"/>
        </w:rPr>
        <w:sectPr>
          <w:footerReference r:id="rId10" w:type="default"/>
          <w:pgSz w:w="11910" w:h="16840"/>
          <w:pgMar w:top="1474" w:right="1361" w:bottom="1474" w:left="1361" w:header="0" w:footer="998" w:gutter="0"/>
          <w:cols w:space="720" w:num="1"/>
          <w:docGrid w:linePitch="299" w:charSpace="0"/>
        </w:sectPr>
      </w:pPr>
    </w:p>
    <w:tbl>
      <w:tblPr>
        <w:tblStyle w:val="8"/>
        <w:tblW w:w="1278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2911"/>
        <w:gridCol w:w="557"/>
        <w:gridCol w:w="2928"/>
        <w:gridCol w:w="4062"/>
        <w:gridCol w:w="557"/>
        <w:gridCol w:w="17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90" w:hRule="atLeast"/>
        </w:trPr>
        <w:tc>
          <w:tcPr>
            <w:tcW w:w="12780" w:type="dxa"/>
            <w:gridSpan w:val="6"/>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bidi="ar"/>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2911" w:type="dxa"/>
            <w:shd w:val="clear" w:color="auto" w:fill="auto"/>
            <w:vAlign w:val="bottom"/>
          </w:tcPr>
          <w:p>
            <w:pPr>
              <w:rPr>
                <w:rFonts w:hint="eastAsia" w:ascii="Arial" w:hAnsi="Arial" w:cs="Arial"/>
                <w:i w:val="0"/>
                <w:color w:val="000000"/>
                <w:sz w:val="20"/>
                <w:szCs w:val="20"/>
                <w:u w:val="none"/>
              </w:rPr>
            </w:pPr>
          </w:p>
        </w:tc>
        <w:tc>
          <w:tcPr>
            <w:tcW w:w="557" w:type="dxa"/>
            <w:shd w:val="clear" w:color="auto" w:fill="auto"/>
            <w:vAlign w:val="bottom"/>
          </w:tcPr>
          <w:p>
            <w:pPr>
              <w:rPr>
                <w:rFonts w:hint="default" w:ascii="Arial" w:hAnsi="Arial" w:cs="Arial"/>
                <w:i w:val="0"/>
                <w:color w:val="000000"/>
                <w:sz w:val="20"/>
                <w:szCs w:val="20"/>
                <w:u w:val="none"/>
              </w:rPr>
            </w:pPr>
          </w:p>
        </w:tc>
        <w:tc>
          <w:tcPr>
            <w:tcW w:w="2928" w:type="dxa"/>
            <w:shd w:val="clear" w:color="auto" w:fill="auto"/>
            <w:vAlign w:val="bottom"/>
          </w:tcPr>
          <w:p>
            <w:pPr>
              <w:rPr>
                <w:rFonts w:hint="default" w:ascii="Arial" w:hAnsi="Arial" w:cs="Arial"/>
                <w:i w:val="0"/>
                <w:color w:val="000000"/>
                <w:sz w:val="20"/>
                <w:szCs w:val="20"/>
                <w:u w:val="none"/>
              </w:rPr>
            </w:pPr>
          </w:p>
        </w:tc>
        <w:tc>
          <w:tcPr>
            <w:tcW w:w="4062" w:type="dxa"/>
            <w:shd w:val="clear" w:color="auto" w:fill="auto"/>
            <w:vAlign w:val="bottom"/>
          </w:tcPr>
          <w:p>
            <w:pPr>
              <w:rPr>
                <w:rFonts w:hint="default" w:ascii="Arial" w:hAnsi="Arial" w:cs="Arial"/>
                <w:i w:val="0"/>
                <w:color w:val="000000"/>
                <w:sz w:val="20"/>
                <w:szCs w:val="20"/>
                <w:u w:val="none"/>
              </w:rPr>
            </w:pPr>
          </w:p>
        </w:tc>
        <w:tc>
          <w:tcPr>
            <w:tcW w:w="557" w:type="dxa"/>
            <w:shd w:val="clear" w:color="auto" w:fill="auto"/>
            <w:vAlign w:val="bottom"/>
          </w:tcPr>
          <w:p>
            <w:pPr>
              <w:rPr>
                <w:rFonts w:hint="default" w:ascii="Arial" w:hAnsi="Arial" w:cs="Arial"/>
                <w:i w:val="0"/>
                <w:color w:val="000000"/>
                <w:sz w:val="20"/>
                <w:szCs w:val="20"/>
                <w:u w:val="none"/>
              </w:rPr>
            </w:pPr>
          </w:p>
        </w:tc>
        <w:tc>
          <w:tcPr>
            <w:tcW w:w="1765" w:type="dxa"/>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2911" w:type="dxa"/>
            <w:shd w:val="clear" w:color="auto" w:fill="auto"/>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部门：河南省周口市淮阳县水务局</w:t>
            </w:r>
          </w:p>
        </w:tc>
        <w:tc>
          <w:tcPr>
            <w:tcW w:w="557" w:type="dxa"/>
            <w:shd w:val="clear" w:color="auto" w:fill="auto"/>
            <w:vAlign w:val="bottom"/>
          </w:tcPr>
          <w:p>
            <w:pPr>
              <w:rPr>
                <w:rFonts w:hint="default" w:ascii="Arial" w:hAnsi="Arial" w:cs="Arial"/>
                <w:i w:val="0"/>
                <w:color w:val="000000"/>
                <w:sz w:val="20"/>
                <w:szCs w:val="20"/>
                <w:u w:val="none"/>
              </w:rPr>
            </w:pPr>
          </w:p>
        </w:tc>
        <w:tc>
          <w:tcPr>
            <w:tcW w:w="2928" w:type="dxa"/>
            <w:shd w:val="clear" w:color="auto" w:fill="auto"/>
            <w:vAlign w:val="bottom"/>
          </w:tcPr>
          <w:p>
            <w:pPr>
              <w:rPr>
                <w:rFonts w:hint="default" w:ascii="Arial" w:hAnsi="Arial" w:cs="Arial"/>
                <w:i w:val="0"/>
                <w:color w:val="000000"/>
                <w:sz w:val="20"/>
                <w:szCs w:val="20"/>
                <w:u w:val="none"/>
              </w:rPr>
            </w:pPr>
          </w:p>
        </w:tc>
        <w:tc>
          <w:tcPr>
            <w:tcW w:w="4062" w:type="dxa"/>
            <w:shd w:val="clear" w:color="auto" w:fill="auto"/>
            <w:vAlign w:val="bottom"/>
          </w:tcPr>
          <w:p>
            <w:pPr>
              <w:rPr>
                <w:rFonts w:hint="default" w:ascii="Arial" w:hAnsi="Arial" w:cs="Arial"/>
                <w:i w:val="0"/>
                <w:color w:val="000000"/>
                <w:sz w:val="20"/>
                <w:szCs w:val="20"/>
                <w:u w:val="none"/>
              </w:rPr>
            </w:pPr>
          </w:p>
        </w:tc>
        <w:tc>
          <w:tcPr>
            <w:tcW w:w="557" w:type="dxa"/>
            <w:shd w:val="clear" w:color="auto" w:fill="auto"/>
            <w:vAlign w:val="bottom"/>
          </w:tcPr>
          <w:p>
            <w:pPr>
              <w:rPr>
                <w:rFonts w:hint="default" w:ascii="Arial" w:hAnsi="Arial" w:cs="Arial"/>
                <w:i w:val="0"/>
                <w:color w:val="000000"/>
                <w:sz w:val="20"/>
                <w:szCs w:val="20"/>
                <w:u w:val="none"/>
              </w:rPr>
            </w:pPr>
          </w:p>
        </w:tc>
        <w:tc>
          <w:tcPr>
            <w:tcW w:w="1765" w:type="dxa"/>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6396" w:type="dxa"/>
            <w:gridSpan w:val="3"/>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收入</w:t>
            </w:r>
          </w:p>
        </w:tc>
        <w:tc>
          <w:tcPr>
            <w:tcW w:w="6384" w:type="dxa"/>
            <w:gridSpan w:val="3"/>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292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76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557" w:type="dxa"/>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292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557" w:type="dxa"/>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76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一、财政拨款收入</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9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4,289.74</w:t>
            </w: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二、上级补助收入</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9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三、事业收入</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9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四、经营收入</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29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五、附属单位上缴收入</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29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六、其他收入</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29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292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七、文化体育与传媒支出</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292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392.33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292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九、医疗卫生与计划生育支出</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292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292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292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3,887.00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292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292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十四、资源勘探信息等支出</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292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292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292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292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十八、国土海洋气象等支出</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292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292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292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二十一、其他支出</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292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4062"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1765"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本年收入合计</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29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4,289.74</w:t>
            </w: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4,289.74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用事业基金弥补收支差额</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29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结余分配</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年初结转和结余</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29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年末结转和结余</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292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4062"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1765"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91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总计</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29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4,289.74</w:t>
            </w:r>
          </w:p>
        </w:tc>
        <w:tc>
          <w:tcPr>
            <w:tcW w:w="4062"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总计</w:t>
            </w:r>
          </w:p>
        </w:tc>
        <w:tc>
          <w:tcPr>
            <w:tcW w:w="55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176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4,289.74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2780" w:type="dxa"/>
            <w:gridSpan w:val="6"/>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注：本表反映部门本年度的总收支和年末结转结余情况。</w:t>
            </w:r>
          </w:p>
        </w:tc>
      </w:tr>
    </w:tbl>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tbl>
      <w:tblPr>
        <w:tblStyle w:val="8"/>
        <w:tblW w:w="149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325"/>
        <w:gridCol w:w="58"/>
        <w:gridCol w:w="58"/>
        <w:gridCol w:w="3047"/>
        <w:gridCol w:w="1507"/>
        <w:gridCol w:w="1402"/>
        <w:gridCol w:w="1496"/>
        <w:gridCol w:w="1228"/>
        <w:gridCol w:w="1199"/>
        <w:gridCol w:w="1614"/>
        <w:gridCol w:w="200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90" w:hRule="atLeast"/>
        </w:trPr>
        <w:tc>
          <w:tcPr>
            <w:tcW w:w="14940" w:type="dxa"/>
            <w:gridSpan w:val="11"/>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bidi="ar"/>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1325" w:type="dxa"/>
            <w:shd w:val="clear" w:color="auto" w:fill="auto"/>
            <w:vAlign w:val="bottom"/>
          </w:tcPr>
          <w:p>
            <w:pPr>
              <w:rPr>
                <w:rFonts w:hint="eastAsia" w:ascii="Arial" w:hAnsi="Arial" w:cs="Arial"/>
                <w:i w:val="0"/>
                <w:color w:val="000000"/>
                <w:sz w:val="20"/>
                <w:szCs w:val="20"/>
                <w:u w:val="none"/>
              </w:rPr>
            </w:pPr>
          </w:p>
        </w:tc>
        <w:tc>
          <w:tcPr>
            <w:tcW w:w="58" w:type="dxa"/>
            <w:shd w:val="clear" w:color="auto" w:fill="auto"/>
            <w:vAlign w:val="bottom"/>
          </w:tcPr>
          <w:p>
            <w:pPr>
              <w:rPr>
                <w:rFonts w:hint="default" w:ascii="Arial" w:hAnsi="Arial" w:cs="Arial"/>
                <w:i w:val="0"/>
                <w:color w:val="000000"/>
                <w:sz w:val="20"/>
                <w:szCs w:val="20"/>
                <w:u w:val="none"/>
              </w:rPr>
            </w:pPr>
          </w:p>
        </w:tc>
        <w:tc>
          <w:tcPr>
            <w:tcW w:w="58" w:type="dxa"/>
            <w:shd w:val="clear" w:color="auto" w:fill="auto"/>
            <w:vAlign w:val="bottom"/>
          </w:tcPr>
          <w:p>
            <w:pPr>
              <w:rPr>
                <w:rFonts w:hint="default" w:ascii="Arial" w:hAnsi="Arial" w:cs="Arial"/>
                <w:i w:val="0"/>
                <w:color w:val="000000"/>
                <w:sz w:val="20"/>
                <w:szCs w:val="20"/>
                <w:u w:val="none"/>
              </w:rPr>
            </w:pPr>
          </w:p>
        </w:tc>
        <w:tc>
          <w:tcPr>
            <w:tcW w:w="3047" w:type="dxa"/>
            <w:shd w:val="clear" w:color="auto" w:fill="auto"/>
            <w:vAlign w:val="bottom"/>
          </w:tcPr>
          <w:p>
            <w:pPr>
              <w:rPr>
                <w:rFonts w:hint="default" w:ascii="Arial" w:hAnsi="Arial" w:cs="Arial"/>
                <w:i w:val="0"/>
                <w:color w:val="000000"/>
                <w:sz w:val="20"/>
                <w:szCs w:val="20"/>
                <w:u w:val="none"/>
              </w:rPr>
            </w:pPr>
          </w:p>
        </w:tc>
        <w:tc>
          <w:tcPr>
            <w:tcW w:w="1507" w:type="dxa"/>
            <w:shd w:val="clear" w:color="auto" w:fill="auto"/>
            <w:vAlign w:val="bottom"/>
          </w:tcPr>
          <w:p>
            <w:pPr>
              <w:rPr>
                <w:rFonts w:hint="default" w:ascii="Arial" w:hAnsi="Arial" w:cs="Arial"/>
                <w:i w:val="0"/>
                <w:color w:val="000000"/>
                <w:sz w:val="20"/>
                <w:szCs w:val="20"/>
                <w:u w:val="none"/>
              </w:rPr>
            </w:pPr>
          </w:p>
        </w:tc>
        <w:tc>
          <w:tcPr>
            <w:tcW w:w="1402" w:type="dxa"/>
            <w:shd w:val="clear" w:color="auto" w:fill="auto"/>
            <w:vAlign w:val="bottom"/>
          </w:tcPr>
          <w:p>
            <w:pPr>
              <w:rPr>
                <w:rFonts w:hint="default" w:ascii="Arial" w:hAnsi="Arial" w:cs="Arial"/>
                <w:i w:val="0"/>
                <w:color w:val="000000"/>
                <w:sz w:val="20"/>
                <w:szCs w:val="20"/>
                <w:u w:val="none"/>
              </w:rPr>
            </w:pPr>
          </w:p>
        </w:tc>
        <w:tc>
          <w:tcPr>
            <w:tcW w:w="1496" w:type="dxa"/>
            <w:shd w:val="clear" w:color="auto" w:fill="auto"/>
            <w:vAlign w:val="bottom"/>
          </w:tcPr>
          <w:p>
            <w:pPr>
              <w:rPr>
                <w:rFonts w:hint="default" w:ascii="Arial" w:hAnsi="Arial" w:cs="Arial"/>
                <w:i w:val="0"/>
                <w:color w:val="000000"/>
                <w:sz w:val="20"/>
                <w:szCs w:val="20"/>
                <w:u w:val="none"/>
              </w:rPr>
            </w:pPr>
          </w:p>
        </w:tc>
        <w:tc>
          <w:tcPr>
            <w:tcW w:w="1228" w:type="dxa"/>
            <w:shd w:val="clear" w:color="auto" w:fill="auto"/>
            <w:vAlign w:val="bottom"/>
          </w:tcPr>
          <w:p>
            <w:pPr>
              <w:rPr>
                <w:rFonts w:hint="default" w:ascii="Arial" w:hAnsi="Arial" w:cs="Arial"/>
                <w:i w:val="0"/>
                <w:color w:val="000000"/>
                <w:sz w:val="20"/>
                <w:szCs w:val="20"/>
                <w:u w:val="none"/>
              </w:rPr>
            </w:pPr>
          </w:p>
        </w:tc>
        <w:tc>
          <w:tcPr>
            <w:tcW w:w="1199" w:type="dxa"/>
            <w:shd w:val="clear" w:color="auto" w:fill="auto"/>
            <w:vAlign w:val="bottom"/>
          </w:tcPr>
          <w:p>
            <w:pPr>
              <w:rPr>
                <w:rFonts w:hint="default" w:ascii="Arial" w:hAnsi="Arial" w:cs="Arial"/>
                <w:i w:val="0"/>
                <w:color w:val="000000"/>
                <w:sz w:val="20"/>
                <w:szCs w:val="20"/>
                <w:u w:val="none"/>
              </w:rPr>
            </w:pPr>
          </w:p>
        </w:tc>
        <w:tc>
          <w:tcPr>
            <w:tcW w:w="1614" w:type="dxa"/>
            <w:shd w:val="clear" w:color="auto" w:fill="auto"/>
            <w:vAlign w:val="bottom"/>
          </w:tcPr>
          <w:p>
            <w:pPr>
              <w:rPr>
                <w:rFonts w:hint="default" w:ascii="Arial" w:hAnsi="Arial" w:cs="Arial"/>
                <w:i w:val="0"/>
                <w:color w:val="000000"/>
                <w:sz w:val="20"/>
                <w:szCs w:val="20"/>
                <w:u w:val="none"/>
              </w:rPr>
            </w:pPr>
          </w:p>
        </w:tc>
        <w:tc>
          <w:tcPr>
            <w:tcW w:w="2006" w:type="dxa"/>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1325" w:type="dxa"/>
            <w:shd w:val="clear" w:color="auto" w:fill="auto"/>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部门：河南省周口市淮阳县水务局</w:t>
            </w:r>
          </w:p>
        </w:tc>
        <w:tc>
          <w:tcPr>
            <w:tcW w:w="58" w:type="dxa"/>
            <w:shd w:val="clear" w:color="auto" w:fill="auto"/>
            <w:vAlign w:val="bottom"/>
          </w:tcPr>
          <w:p>
            <w:pPr>
              <w:rPr>
                <w:rFonts w:hint="default" w:ascii="Arial" w:hAnsi="Arial" w:cs="Arial"/>
                <w:i w:val="0"/>
                <w:color w:val="000000"/>
                <w:sz w:val="20"/>
                <w:szCs w:val="20"/>
                <w:u w:val="none"/>
              </w:rPr>
            </w:pPr>
          </w:p>
        </w:tc>
        <w:tc>
          <w:tcPr>
            <w:tcW w:w="58" w:type="dxa"/>
            <w:shd w:val="clear" w:color="auto" w:fill="auto"/>
            <w:vAlign w:val="bottom"/>
          </w:tcPr>
          <w:p>
            <w:pPr>
              <w:rPr>
                <w:rFonts w:hint="default" w:ascii="Arial" w:hAnsi="Arial" w:cs="Arial"/>
                <w:i w:val="0"/>
                <w:color w:val="000000"/>
                <w:sz w:val="20"/>
                <w:szCs w:val="20"/>
                <w:u w:val="none"/>
              </w:rPr>
            </w:pPr>
          </w:p>
        </w:tc>
        <w:tc>
          <w:tcPr>
            <w:tcW w:w="3047" w:type="dxa"/>
            <w:shd w:val="clear" w:color="auto" w:fill="auto"/>
            <w:vAlign w:val="bottom"/>
          </w:tcPr>
          <w:p>
            <w:pPr>
              <w:rPr>
                <w:rFonts w:hint="default" w:ascii="Arial" w:hAnsi="Arial" w:cs="Arial"/>
                <w:i w:val="0"/>
                <w:color w:val="000000"/>
                <w:sz w:val="20"/>
                <w:szCs w:val="20"/>
                <w:u w:val="none"/>
              </w:rPr>
            </w:pPr>
          </w:p>
        </w:tc>
        <w:tc>
          <w:tcPr>
            <w:tcW w:w="1507" w:type="dxa"/>
            <w:shd w:val="clear" w:color="auto" w:fill="auto"/>
            <w:vAlign w:val="bottom"/>
          </w:tcPr>
          <w:p>
            <w:pPr>
              <w:rPr>
                <w:rFonts w:hint="default" w:ascii="Arial" w:hAnsi="Arial" w:cs="Arial"/>
                <w:i w:val="0"/>
                <w:color w:val="000000"/>
                <w:sz w:val="20"/>
                <w:szCs w:val="20"/>
                <w:u w:val="none"/>
              </w:rPr>
            </w:pPr>
          </w:p>
        </w:tc>
        <w:tc>
          <w:tcPr>
            <w:tcW w:w="1402" w:type="dxa"/>
            <w:shd w:val="clear" w:color="auto" w:fill="auto"/>
            <w:vAlign w:val="bottom"/>
          </w:tcPr>
          <w:p>
            <w:pPr>
              <w:rPr>
                <w:rFonts w:hint="default" w:ascii="Arial" w:hAnsi="Arial" w:cs="Arial"/>
                <w:i w:val="0"/>
                <w:color w:val="000000"/>
                <w:sz w:val="20"/>
                <w:szCs w:val="20"/>
                <w:u w:val="none"/>
              </w:rPr>
            </w:pPr>
          </w:p>
        </w:tc>
        <w:tc>
          <w:tcPr>
            <w:tcW w:w="1496" w:type="dxa"/>
            <w:shd w:val="clear" w:color="auto" w:fill="auto"/>
            <w:vAlign w:val="bottom"/>
          </w:tcPr>
          <w:p>
            <w:pPr>
              <w:rPr>
                <w:rFonts w:hint="default" w:ascii="Arial" w:hAnsi="Arial" w:cs="Arial"/>
                <w:i w:val="0"/>
                <w:color w:val="000000"/>
                <w:sz w:val="20"/>
                <w:szCs w:val="20"/>
                <w:u w:val="none"/>
              </w:rPr>
            </w:pPr>
          </w:p>
        </w:tc>
        <w:tc>
          <w:tcPr>
            <w:tcW w:w="1228" w:type="dxa"/>
            <w:shd w:val="clear" w:color="auto" w:fill="auto"/>
            <w:vAlign w:val="bottom"/>
          </w:tcPr>
          <w:p>
            <w:pPr>
              <w:rPr>
                <w:rFonts w:hint="default" w:ascii="Arial" w:hAnsi="Arial" w:cs="Arial"/>
                <w:i w:val="0"/>
                <w:color w:val="000000"/>
                <w:sz w:val="20"/>
                <w:szCs w:val="20"/>
                <w:u w:val="none"/>
              </w:rPr>
            </w:pPr>
          </w:p>
        </w:tc>
        <w:tc>
          <w:tcPr>
            <w:tcW w:w="1199" w:type="dxa"/>
            <w:shd w:val="clear" w:color="auto" w:fill="auto"/>
            <w:vAlign w:val="bottom"/>
          </w:tcPr>
          <w:p>
            <w:pPr>
              <w:rPr>
                <w:rFonts w:hint="default" w:ascii="Arial" w:hAnsi="Arial" w:cs="Arial"/>
                <w:i w:val="0"/>
                <w:color w:val="000000"/>
                <w:sz w:val="20"/>
                <w:szCs w:val="20"/>
                <w:u w:val="none"/>
              </w:rPr>
            </w:pPr>
          </w:p>
        </w:tc>
        <w:tc>
          <w:tcPr>
            <w:tcW w:w="1614" w:type="dxa"/>
            <w:shd w:val="clear" w:color="auto" w:fill="auto"/>
            <w:vAlign w:val="bottom"/>
          </w:tcPr>
          <w:p>
            <w:pPr>
              <w:rPr>
                <w:rFonts w:hint="default" w:ascii="Arial" w:hAnsi="Arial" w:cs="Arial"/>
                <w:i w:val="0"/>
                <w:color w:val="000000"/>
                <w:sz w:val="20"/>
                <w:szCs w:val="20"/>
                <w:u w:val="none"/>
              </w:rPr>
            </w:pPr>
          </w:p>
        </w:tc>
        <w:tc>
          <w:tcPr>
            <w:tcW w:w="2006" w:type="dxa"/>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488" w:type="dxa"/>
            <w:gridSpan w:val="4"/>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507"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本年收入合计</w:t>
            </w:r>
          </w:p>
        </w:tc>
        <w:tc>
          <w:tcPr>
            <w:tcW w:w="1402"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财政拨款收入</w:t>
            </w:r>
          </w:p>
        </w:tc>
        <w:tc>
          <w:tcPr>
            <w:tcW w:w="1496"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上级补助收入</w:t>
            </w:r>
          </w:p>
        </w:tc>
        <w:tc>
          <w:tcPr>
            <w:tcW w:w="1228"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事业收入</w:t>
            </w:r>
          </w:p>
        </w:tc>
        <w:tc>
          <w:tcPr>
            <w:tcW w:w="1199"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经营收入</w:t>
            </w:r>
          </w:p>
        </w:tc>
        <w:tc>
          <w:tcPr>
            <w:tcW w:w="1614"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附属单位上缴收入</w:t>
            </w:r>
          </w:p>
        </w:tc>
        <w:tc>
          <w:tcPr>
            <w:tcW w:w="2006"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441" w:type="dxa"/>
            <w:gridSpan w:val="3"/>
            <w:vMerge w:val="restart"/>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047"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507"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402"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496"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199"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614"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2006"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441" w:type="dxa"/>
            <w:gridSpan w:val="3"/>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3047"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507"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402"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496"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199"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614"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2006"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441" w:type="dxa"/>
            <w:gridSpan w:val="3"/>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3047"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507"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402"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496"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199"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614"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2006"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488" w:type="dxa"/>
            <w:gridSpan w:val="4"/>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50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402"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496"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22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19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61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2006"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488" w:type="dxa"/>
            <w:gridSpan w:val="4"/>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4,289.74</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4,289.74</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392.33</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392.33</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行政事业单位离退休</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349.40</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349.40</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2080501</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归口管理的行政单位离退休</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46.19</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46.19</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2080502</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事业单位离退休</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54.10</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54.10</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249.12</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249.12</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20808</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抚恤</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38.25</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38.25</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2080801</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死亡抚恤</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38.25</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38.25</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20822</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大中型水库移民后期扶持基金支出</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4.68</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4.68</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2082201</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移民补助</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4.68</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4.68</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医疗卫生与计划生育支出</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10.41</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10.41</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10.41</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10.41</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2101102</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事业单位医疗</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10.41</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10.41</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3,887.00</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3,887.00</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水利</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2,125.70</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2,125.70</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2130301</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143.74</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143.74</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2130305</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水利工程建设</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14.78</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14.78</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2130306</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水利工程运行与维护</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90.09</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90.09</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2130309</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水利执法监督</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70.40</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70.40</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2130310</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水土保持</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1.94</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1.94</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2130311</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水资源节约管理与保护</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11.00</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11.00</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2130314</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防汛</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128.59</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128.59</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2130315</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抗旱</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47.64</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47.64</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2130316</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农田水利</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404.07</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404.07</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2130335</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农村人畜饮水</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346.88</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346.88</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2130399</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其他水利支出</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866.56</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866.56</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扶贫</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1,761.31</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1,761.31</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2130504</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农村基础设施建设</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1,357.00</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1,357.00</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4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2130599</w:t>
            </w:r>
          </w:p>
        </w:tc>
        <w:tc>
          <w:tcPr>
            <w:tcW w:w="304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其他扶贫支出</w:t>
            </w:r>
          </w:p>
        </w:tc>
        <w:tc>
          <w:tcPr>
            <w:tcW w:w="150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404.31</w:t>
            </w:r>
          </w:p>
        </w:tc>
        <w:tc>
          <w:tcPr>
            <w:tcW w:w="14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404.31</w:t>
            </w:r>
          </w:p>
        </w:tc>
        <w:tc>
          <w:tcPr>
            <w:tcW w:w="14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2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9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940" w:type="dxa"/>
            <w:gridSpan w:val="11"/>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注：本表反映部门本年度取得的各项收入情况。</w:t>
            </w:r>
          </w:p>
        </w:tc>
      </w:tr>
    </w:tbl>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tbl>
      <w:tblPr>
        <w:tblStyle w:val="8"/>
        <w:tblW w:w="130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311"/>
        <w:gridCol w:w="58"/>
        <w:gridCol w:w="58"/>
        <w:gridCol w:w="3005"/>
        <w:gridCol w:w="1870"/>
        <w:gridCol w:w="1043"/>
        <w:gridCol w:w="1633"/>
        <w:gridCol w:w="1172"/>
        <w:gridCol w:w="950"/>
        <w:gridCol w:w="19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90" w:hRule="atLeast"/>
        </w:trPr>
        <w:tc>
          <w:tcPr>
            <w:tcW w:w="13020" w:type="dxa"/>
            <w:gridSpan w:val="10"/>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bidi="ar"/>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1311" w:type="dxa"/>
            <w:shd w:val="clear" w:color="auto" w:fill="auto"/>
            <w:vAlign w:val="bottom"/>
          </w:tcPr>
          <w:p>
            <w:pPr>
              <w:rPr>
                <w:rFonts w:hint="eastAsia" w:ascii="Arial" w:hAnsi="Arial" w:cs="Arial"/>
                <w:i w:val="0"/>
                <w:color w:val="000000"/>
                <w:sz w:val="20"/>
                <w:szCs w:val="20"/>
                <w:u w:val="none"/>
              </w:rPr>
            </w:pPr>
          </w:p>
        </w:tc>
        <w:tc>
          <w:tcPr>
            <w:tcW w:w="58" w:type="dxa"/>
            <w:shd w:val="clear" w:color="auto" w:fill="auto"/>
            <w:vAlign w:val="bottom"/>
          </w:tcPr>
          <w:p>
            <w:pPr>
              <w:rPr>
                <w:rFonts w:hint="default" w:ascii="Arial" w:hAnsi="Arial" w:cs="Arial"/>
                <w:i w:val="0"/>
                <w:color w:val="000000"/>
                <w:sz w:val="20"/>
                <w:szCs w:val="20"/>
                <w:u w:val="none"/>
              </w:rPr>
            </w:pPr>
          </w:p>
        </w:tc>
        <w:tc>
          <w:tcPr>
            <w:tcW w:w="58" w:type="dxa"/>
            <w:shd w:val="clear" w:color="auto" w:fill="auto"/>
            <w:vAlign w:val="bottom"/>
          </w:tcPr>
          <w:p>
            <w:pPr>
              <w:rPr>
                <w:rFonts w:hint="default" w:ascii="Arial" w:hAnsi="Arial" w:cs="Arial"/>
                <w:i w:val="0"/>
                <w:color w:val="000000"/>
                <w:sz w:val="20"/>
                <w:szCs w:val="20"/>
                <w:u w:val="none"/>
              </w:rPr>
            </w:pPr>
          </w:p>
        </w:tc>
        <w:tc>
          <w:tcPr>
            <w:tcW w:w="3005" w:type="dxa"/>
            <w:shd w:val="clear" w:color="auto" w:fill="auto"/>
            <w:vAlign w:val="bottom"/>
          </w:tcPr>
          <w:p>
            <w:pPr>
              <w:rPr>
                <w:rFonts w:hint="default" w:ascii="Arial" w:hAnsi="Arial" w:cs="Arial"/>
                <w:i w:val="0"/>
                <w:color w:val="000000"/>
                <w:sz w:val="20"/>
                <w:szCs w:val="20"/>
                <w:u w:val="none"/>
              </w:rPr>
            </w:pPr>
          </w:p>
        </w:tc>
        <w:tc>
          <w:tcPr>
            <w:tcW w:w="1870" w:type="dxa"/>
            <w:shd w:val="clear" w:color="auto" w:fill="auto"/>
            <w:vAlign w:val="bottom"/>
          </w:tcPr>
          <w:p>
            <w:pPr>
              <w:rPr>
                <w:rFonts w:hint="default" w:ascii="Arial" w:hAnsi="Arial" w:cs="Arial"/>
                <w:i w:val="0"/>
                <w:color w:val="000000"/>
                <w:sz w:val="20"/>
                <w:szCs w:val="20"/>
                <w:u w:val="none"/>
              </w:rPr>
            </w:pPr>
          </w:p>
        </w:tc>
        <w:tc>
          <w:tcPr>
            <w:tcW w:w="1043" w:type="dxa"/>
            <w:shd w:val="clear" w:color="auto" w:fill="auto"/>
            <w:vAlign w:val="bottom"/>
          </w:tcPr>
          <w:p>
            <w:pPr>
              <w:rPr>
                <w:rFonts w:hint="default" w:ascii="Arial" w:hAnsi="Arial" w:cs="Arial"/>
                <w:i w:val="0"/>
                <w:color w:val="000000"/>
                <w:sz w:val="20"/>
                <w:szCs w:val="20"/>
                <w:u w:val="none"/>
              </w:rPr>
            </w:pPr>
          </w:p>
        </w:tc>
        <w:tc>
          <w:tcPr>
            <w:tcW w:w="1633" w:type="dxa"/>
            <w:shd w:val="clear" w:color="auto" w:fill="auto"/>
            <w:vAlign w:val="bottom"/>
          </w:tcPr>
          <w:p>
            <w:pPr>
              <w:rPr>
                <w:rFonts w:hint="default" w:ascii="Arial" w:hAnsi="Arial" w:cs="Arial"/>
                <w:i w:val="0"/>
                <w:color w:val="000000"/>
                <w:sz w:val="20"/>
                <w:szCs w:val="20"/>
                <w:u w:val="none"/>
              </w:rPr>
            </w:pPr>
          </w:p>
        </w:tc>
        <w:tc>
          <w:tcPr>
            <w:tcW w:w="1172" w:type="dxa"/>
            <w:shd w:val="clear" w:color="auto" w:fill="auto"/>
            <w:vAlign w:val="bottom"/>
          </w:tcPr>
          <w:p>
            <w:pPr>
              <w:rPr>
                <w:rFonts w:hint="default" w:ascii="Arial" w:hAnsi="Arial" w:cs="Arial"/>
                <w:i w:val="0"/>
                <w:color w:val="000000"/>
                <w:sz w:val="20"/>
                <w:szCs w:val="20"/>
                <w:u w:val="none"/>
              </w:rPr>
            </w:pPr>
          </w:p>
        </w:tc>
        <w:tc>
          <w:tcPr>
            <w:tcW w:w="950" w:type="dxa"/>
            <w:shd w:val="clear" w:color="auto" w:fill="auto"/>
            <w:vAlign w:val="bottom"/>
          </w:tcPr>
          <w:p>
            <w:pPr>
              <w:rPr>
                <w:rFonts w:hint="default" w:ascii="Arial" w:hAnsi="Arial" w:cs="Arial"/>
                <w:i w:val="0"/>
                <w:color w:val="000000"/>
                <w:sz w:val="20"/>
                <w:szCs w:val="20"/>
                <w:u w:val="none"/>
              </w:rPr>
            </w:pPr>
          </w:p>
        </w:tc>
        <w:tc>
          <w:tcPr>
            <w:tcW w:w="1920" w:type="dxa"/>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1311" w:type="dxa"/>
            <w:shd w:val="clear" w:color="auto" w:fill="auto"/>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部门：河南省周口市淮阳县水务局</w:t>
            </w:r>
          </w:p>
        </w:tc>
        <w:tc>
          <w:tcPr>
            <w:tcW w:w="58" w:type="dxa"/>
            <w:shd w:val="clear" w:color="auto" w:fill="auto"/>
            <w:vAlign w:val="bottom"/>
          </w:tcPr>
          <w:p>
            <w:pPr>
              <w:rPr>
                <w:rFonts w:hint="default" w:ascii="Arial" w:hAnsi="Arial" w:cs="Arial"/>
                <w:i w:val="0"/>
                <w:color w:val="000000"/>
                <w:sz w:val="20"/>
                <w:szCs w:val="20"/>
                <w:u w:val="none"/>
              </w:rPr>
            </w:pPr>
          </w:p>
        </w:tc>
        <w:tc>
          <w:tcPr>
            <w:tcW w:w="58" w:type="dxa"/>
            <w:shd w:val="clear" w:color="auto" w:fill="auto"/>
            <w:vAlign w:val="bottom"/>
          </w:tcPr>
          <w:p>
            <w:pPr>
              <w:rPr>
                <w:rFonts w:hint="default" w:ascii="Arial" w:hAnsi="Arial" w:cs="Arial"/>
                <w:i w:val="0"/>
                <w:color w:val="000000"/>
                <w:sz w:val="20"/>
                <w:szCs w:val="20"/>
                <w:u w:val="none"/>
              </w:rPr>
            </w:pPr>
          </w:p>
        </w:tc>
        <w:tc>
          <w:tcPr>
            <w:tcW w:w="3005" w:type="dxa"/>
            <w:shd w:val="clear" w:color="auto" w:fill="auto"/>
            <w:vAlign w:val="bottom"/>
          </w:tcPr>
          <w:p>
            <w:pPr>
              <w:rPr>
                <w:rFonts w:hint="default" w:ascii="Arial" w:hAnsi="Arial" w:cs="Arial"/>
                <w:i w:val="0"/>
                <w:color w:val="000000"/>
                <w:sz w:val="20"/>
                <w:szCs w:val="20"/>
                <w:u w:val="none"/>
              </w:rPr>
            </w:pPr>
          </w:p>
        </w:tc>
        <w:tc>
          <w:tcPr>
            <w:tcW w:w="1870" w:type="dxa"/>
            <w:shd w:val="clear" w:color="auto" w:fill="auto"/>
            <w:vAlign w:val="bottom"/>
          </w:tcPr>
          <w:p>
            <w:pPr>
              <w:rPr>
                <w:rFonts w:hint="default" w:ascii="Arial" w:hAnsi="Arial" w:cs="Arial"/>
                <w:i w:val="0"/>
                <w:color w:val="000000"/>
                <w:sz w:val="20"/>
                <w:szCs w:val="20"/>
                <w:u w:val="none"/>
              </w:rPr>
            </w:pPr>
          </w:p>
        </w:tc>
        <w:tc>
          <w:tcPr>
            <w:tcW w:w="1043" w:type="dxa"/>
            <w:shd w:val="clear" w:color="auto" w:fill="auto"/>
            <w:vAlign w:val="bottom"/>
          </w:tcPr>
          <w:p>
            <w:pPr>
              <w:rPr>
                <w:rFonts w:hint="default" w:ascii="Arial" w:hAnsi="Arial" w:cs="Arial"/>
                <w:i w:val="0"/>
                <w:color w:val="000000"/>
                <w:sz w:val="20"/>
                <w:szCs w:val="20"/>
                <w:u w:val="none"/>
              </w:rPr>
            </w:pPr>
          </w:p>
        </w:tc>
        <w:tc>
          <w:tcPr>
            <w:tcW w:w="1633" w:type="dxa"/>
            <w:shd w:val="clear" w:color="auto" w:fill="auto"/>
            <w:vAlign w:val="bottom"/>
          </w:tcPr>
          <w:p>
            <w:pPr>
              <w:rPr>
                <w:rFonts w:hint="default" w:ascii="Arial" w:hAnsi="Arial" w:cs="Arial"/>
                <w:i w:val="0"/>
                <w:color w:val="000000"/>
                <w:sz w:val="20"/>
                <w:szCs w:val="20"/>
                <w:u w:val="none"/>
              </w:rPr>
            </w:pPr>
          </w:p>
        </w:tc>
        <w:tc>
          <w:tcPr>
            <w:tcW w:w="1172" w:type="dxa"/>
            <w:shd w:val="clear" w:color="auto" w:fill="auto"/>
            <w:vAlign w:val="bottom"/>
          </w:tcPr>
          <w:p>
            <w:pPr>
              <w:rPr>
                <w:rFonts w:hint="default" w:ascii="Arial" w:hAnsi="Arial" w:cs="Arial"/>
                <w:i w:val="0"/>
                <w:color w:val="000000"/>
                <w:sz w:val="20"/>
                <w:szCs w:val="20"/>
                <w:u w:val="none"/>
              </w:rPr>
            </w:pPr>
          </w:p>
        </w:tc>
        <w:tc>
          <w:tcPr>
            <w:tcW w:w="950" w:type="dxa"/>
            <w:shd w:val="clear" w:color="auto" w:fill="auto"/>
            <w:vAlign w:val="bottom"/>
          </w:tcPr>
          <w:p>
            <w:pPr>
              <w:rPr>
                <w:rFonts w:hint="default" w:ascii="Arial" w:hAnsi="Arial" w:cs="Arial"/>
                <w:i w:val="0"/>
                <w:color w:val="000000"/>
                <w:sz w:val="20"/>
                <w:szCs w:val="20"/>
                <w:u w:val="none"/>
              </w:rPr>
            </w:pPr>
          </w:p>
        </w:tc>
        <w:tc>
          <w:tcPr>
            <w:tcW w:w="1920" w:type="dxa"/>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432" w:type="dxa"/>
            <w:gridSpan w:val="4"/>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870"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1043"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633"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1172"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上缴上级支出</w:t>
            </w:r>
          </w:p>
        </w:tc>
        <w:tc>
          <w:tcPr>
            <w:tcW w:w="950"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经营支出</w:t>
            </w:r>
          </w:p>
        </w:tc>
        <w:tc>
          <w:tcPr>
            <w:tcW w:w="1920"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427" w:type="dxa"/>
            <w:gridSpan w:val="3"/>
            <w:vMerge w:val="restart"/>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005"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870"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43"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633"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172"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50"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920"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427" w:type="dxa"/>
            <w:gridSpan w:val="3"/>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3005"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870"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43"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633"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172"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50"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920"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427" w:type="dxa"/>
            <w:gridSpan w:val="3"/>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3005"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870"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43"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633"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172"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50"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920"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432" w:type="dxa"/>
            <w:gridSpan w:val="4"/>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870"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043"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633"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172"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950"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920"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432" w:type="dxa"/>
            <w:gridSpan w:val="4"/>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4,289.74</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1,550.35</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2,739.39</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392.33</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392.33</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行政事业单位离退休</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349.40</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349.40</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2080501</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归口管理的行政单位离退休</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46.19</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46.19</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2080502</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事业单位离退休</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54.10</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54.10</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249.12</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249.12</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20808</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抚恤</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38.25</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38.25</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2080801</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死亡抚恤</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38.25</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38.25</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20822</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大中型水库移民后期扶持基金支出</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4.68</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4.68</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2082201</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移民补助</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4.68</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4.68</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医疗卫生与计划生育支出</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10.41</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10.41</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10.41</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10.41</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2101102</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事业单位医疗</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10.41</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10.41</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3,887.00</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1,147.61</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2,739.39</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水利</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2,125.70</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1,147.61</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978.08</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2130301</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143.74</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143.74</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2130305</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水利工程建设</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14.78</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14.78</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2130306</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水利工程运行与维护</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90.09</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85.91</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4.18</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2130309</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水利执法监督</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70.40</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70.40</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2130310</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水土保持</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1.94</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1.94</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2130311</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水资源节约管理与保护</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11.00</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11.00</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2130314</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防汛</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128.59</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128.59</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2130315</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抗旱</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47.64</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47.64</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2130316</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农田水利</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404.07</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404.07</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2130335</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农村人畜饮水</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346.88</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346.88</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2130399</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其他水利支出</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866.56</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836.56</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30.00</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扶贫</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1,761.31</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1,761.31</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2130504</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农村基础设施建设</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1,357.00</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1,357.00</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2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2130599</w:t>
            </w:r>
          </w:p>
        </w:tc>
        <w:tc>
          <w:tcPr>
            <w:tcW w:w="3005"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其他扶贫支出</w:t>
            </w:r>
          </w:p>
        </w:tc>
        <w:tc>
          <w:tcPr>
            <w:tcW w:w="187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404.31</w:t>
            </w:r>
          </w:p>
        </w:tc>
        <w:tc>
          <w:tcPr>
            <w:tcW w:w="104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6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404.31</w:t>
            </w:r>
          </w:p>
        </w:tc>
        <w:tc>
          <w:tcPr>
            <w:tcW w:w="117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9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3020" w:type="dxa"/>
            <w:gridSpan w:val="10"/>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注：本表反映部门本年度各项支出情况。</w:t>
            </w:r>
          </w:p>
        </w:tc>
      </w:tr>
    </w:tbl>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tbl>
      <w:tblPr>
        <w:tblStyle w:val="8"/>
        <w:tblW w:w="1219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2534"/>
        <w:gridCol w:w="531"/>
        <w:gridCol w:w="2586"/>
        <w:gridCol w:w="3021"/>
        <w:gridCol w:w="531"/>
        <w:gridCol w:w="910"/>
        <w:gridCol w:w="1244"/>
        <w:gridCol w:w="83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90" w:hRule="atLeast"/>
        </w:trPr>
        <w:tc>
          <w:tcPr>
            <w:tcW w:w="12195"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bidi="ar"/>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2534" w:type="dxa"/>
            <w:shd w:val="clear" w:color="auto" w:fill="auto"/>
            <w:vAlign w:val="bottom"/>
          </w:tcPr>
          <w:p>
            <w:pPr>
              <w:rPr>
                <w:rFonts w:hint="eastAsia" w:ascii="Arial" w:hAnsi="Arial" w:cs="Arial"/>
                <w:i w:val="0"/>
                <w:color w:val="000000"/>
                <w:sz w:val="20"/>
                <w:szCs w:val="20"/>
                <w:u w:val="none"/>
              </w:rPr>
            </w:pPr>
          </w:p>
        </w:tc>
        <w:tc>
          <w:tcPr>
            <w:tcW w:w="531" w:type="dxa"/>
            <w:shd w:val="clear" w:color="auto" w:fill="auto"/>
            <w:vAlign w:val="bottom"/>
          </w:tcPr>
          <w:p>
            <w:pPr>
              <w:rPr>
                <w:rFonts w:hint="default" w:ascii="Arial" w:hAnsi="Arial" w:cs="Arial"/>
                <w:i w:val="0"/>
                <w:color w:val="000000"/>
                <w:sz w:val="20"/>
                <w:szCs w:val="20"/>
                <w:u w:val="none"/>
              </w:rPr>
            </w:pPr>
          </w:p>
        </w:tc>
        <w:tc>
          <w:tcPr>
            <w:tcW w:w="2586" w:type="dxa"/>
            <w:shd w:val="clear" w:color="auto" w:fill="auto"/>
            <w:vAlign w:val="bottom"/>
          </w:tcPr>
          <w:p>
            <w:pPr>
              <w:rPr>
                <w:rFonts w:hint="default" w:ascii="Arial" w:hAnsi="Arial" w:cs="Arial"/>
                <w:i w:val="0"/>
                <w:color w:val="000000"/>
                <w:sz w:val="20"/>
                <w:szCs w:val="20"/>
                <w:u w:val="none"/>
              </w:rPr>
            </w:pPr>
          </w:p>
        </w:tc>
        <w:tc>
          <w:tcPr>
            <w:tcW w:w="3021" w:type="dxa"/>
            <w:shd w:val="clear" w:color="auto" w:fill="auto"/>
            <w:vAlign w:val="bottom"/>
          </w:tcPr>
          <w:p>
            <w:pPr>
              <w:rPr>
                <w:rFonts w:hint="default" w:ascii="Arial" w:hAnsi="Arial" w:cs="Arial"/>
                <w:i w:val="0"/>
                <w:color w:val="000000"/>
                <w:sz w:val="20"/>
                <w:szCs w:val="20"/>
                <w:u w:val="none"/>
              </w:rPr>
            </w:pPr>
          </w:p>
        </w:tc>
        <w:tc>
          <w:tcPr>
            <w:tcW w:w="531" w:type="dxa"/>
            <w:shd w:val="clear" w:color="auto" w:fill="auto"/>
            <w:vAlign w:val="bottom"/>
          </w:tcPr>
          <w:p>
            <w:pPr>
              <w:rPr>
                <w:rFonts w:hint="default" w:ascii="Arial" w:hAnsi="Arial" w:cs="Arial"/>
                <w:i w:val="0"/>
                <w:color w:val="000000"/>
                <w:sz w:val="20"/>
                <w:szCs w:val="20"/>
                <w:u w:val="none"/>
              </w:rPr>
            </w:pPr>
          </w:p>
        </w:tc>
        <w:tc>
          <w:tcPr>
            <w:tcW w:w="910" w:type="dxa"/>
            <w:shd w:val="clear" w:color="auto" w:fill="auto"/>
            <w:vAlign w:val="bottom"/>
          </w:tcPr>
          <w:p>
            <w:pPr>
              <w:rPr>
                <w:rFonts w:hint="default" w:ascii="Arial" w:hAnsi="Arial" w:cs="Arial"/>
                <w:i w:val="0"/>
                <w:color w:val="000000"/>
                <w:sz w:val="20"/>
                <w:szCs w:val="20"/>
                <w:u w:val="none"/>
              </w:rPr>
            </w:pPr>
          </w:p>
        </w:tc>
        <w:tc>
          <w:tcPr>
            <w:tcW w:w="1244" w:type="dxa"/>
            <w:shd w:val="clear" w:color="auto" w:fill="auto"/>
            <w:vAlign w:val="bottom"/>
          </w:tcPr>
          <w:p>
            <w:pPr>
              <w:rPr>
                <w:rFonts w:hint="default" w:ascii="Arial" w:hAnsi="Arial" w:cs="Arial"/>
                <w:i w:val="0"/>
                <w:color w:val="000000"/>
                <w:sz w:val="20"/>
                <w:szCs w:val="20"/>
                <w:u w:val="none"/>
              </w:rPr>
            </w:pPr>
          </w:p>
        </w:tc>
        <w:tc>
          <w:tcPr>
            <w:tcW w:w="838" w:type="dxa"/>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2534" w:type="dxa"/>
            <w:shd w:val="clear" w:color="auto" w:fill="auto"/>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部门：河南省周口市淮阳县水务局</w:t>
            </w:r>
          </w:p>
        </w:tc>
        <w:tc>
          <w:tcPr>
            <w:tcW w:w="531" w:type="dxa"/>
            <w:shd w:val="clear" w:color="auto" w:fill="auto"/>
            <w:vAlign w:val="bottom"/>
          </w:tcPr>
          <w:p>
            <w:pPr>
              <w:rPr>
                <w:rFonts w:hint="default" w:ascii="Arial" w:hAnsi="Arial" w:cs="Arial"/>
                <w:i w:val="0"/>
                <w:color w:val="000000"/>
                <w:sz w:val="20"/>
                <w:szCs w:val="20"/>
                <w:u w:val="none"/>
              </w:rPr>
            </w:pPr>
          </w:p>
        </w:tc>
        <w:tc>
          <w:tcPr>
            <w:tcW w:w="2586" w:type="dxa"/>
            <w:shd w:val="clear" w:color="auto" w:fill="auto"/>
            <w:vAlign w:val="bottom"/>
          </w:tcPr>
          <w:p>
            <w:pPr>
              <w:rPr>
                <w:rFonts w:hint="default" w:ascii="Arial" w:hAnsi="Arial" w:cs="Arial"/>
                <w:i w:val="0"/>
                <w:color w:val="000000"/>
                <w:sz w:val="20"/>
                <w:szCs w:val="20"/>
                <w:u w:val="none"/>
              </w:rPr>
            </w:pPr>
          </w:p>
        </w:tc>
        <w:tc>
          <w:tcPr>
            <w:tcW w:w="3021" w:type="dxa"/>
            <w:shd w:val="clear" w:color="auto" w:fill="auto"/>
            <w:vAlign w:val="bottom"/>
          </w:tcPr>
          <w:p>
            <w:pPr>
              <w:rPr>
                <w:rFonts w:hint="default" w:ascii="Arial" w:hAnsi="Arial" w:cs="Arial"/>
                <w:i w:val="0"/>
                <w:color w:val="000000"/>
                <w:sz w:val="20"/>
                <w:szCs w:val="20"/>
                <w:u w:val="none"/>
              </w:rPr>
            </w:pPr>
          </w:p>
        </w:tc>
        <w:tc>
          <w:tcPr>
            <w:tcW w:w="531" w:type="dxa"/>
            <w:shd w:val="clear" w:color="auto" w:fill="auto"/>
            <w:vAlign w:val="bottom"/>
          </w:tcPr>
          <w:p>
            <w:pPr>
              <w:rPr>
                <w:rFonts w:hint="default" w:ascii="Arial" w:hAnsi="Arial" w:cs="Arial"/>
                <w:i w:val="0"/>
                <w:color w:val="000000"/>
                <w:sz w:val="20"/>
                <w:szCs w:val="20"/>
                <w:u w:val="none"/>
              </w:rPr>
            </w:pPr>
          </w:p>
        </w:tc>
        <w:tc>
          <w:tcPr>
            <w:tcW w:w="910" w:type="dxa"/>
            <w:shd w:val="clear" w:color="auto" w:fill="auto"/>
            <w:vAlign w:val="bottom"/>
          </w:tcPr>
          <w:p>
            <w:pPr>
              <w:rPr>
                <w:rFonts w:hint="default" w:ascii="Arial" w:hAnsi="Arial" w:cs="Arial"/>
                <w:i w:val="0"/>
                <w:color w:val="000000"/>
                <w:sz w:val="20"/>
                <w:szCs w:val="20"/>
                <w:u w:val="none"/>
              </w:rPr>
            </w:pPr>
          </w:p>
        </w:tc>
        <w:tc>
          <w:tcPr>
            <w:tcW w:w="1244" w:type="dxa"/>
            <w:shd w:val="clear" w:color="auto" w:fill="auto"/>
            <w:vAlign w:val="bottom"/>
          </w:tcPr>
          <w:p>
            <w:pPr>
              <w:rPr>
                <w:rFonts w:hint="default" w:ascii="Arial" w:hAnsi="Arial" w:cs="Arial"/>
                <w:i w:val="0"/>
                <w:color w:val="000000"/>
                <w:sz w:val="20"/>
                <w:szCs w:val="20"/>
                <w:u w:val="none"/>
              </w:rPr>
            </w:pPr>
          </w:p>
        </w:tc>
        <w:tc>
          <w:tcPr>
            <w:tcW w:w="838" w:type="dxa"/>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651" w:type="dxa"/>
            <w:gridSpan w:val="3"/>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     入</w:t>
            </w:r>
          </w:p>
        </w:tc>
        <w:tc>
          <w:tcPr>
            <w:tcW w:w="6544" w:type="dxa"/>
            <w:gridSpan w:val="5"/>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     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2534" w:type="dxa"/>
            <w:vMerge w:val="restart"/>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531"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2586"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3021"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531"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910"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244"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838"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15" w:hRule="atLeast"/>
        </w:trPr>
        <w:tc>
          <w:tcPr>
            <w:tcW w:w="2534" w:type="dxa"/>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531"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2586"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3021"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531"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10"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244"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838"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531" w:type="dxa"/>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2586"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531" w:type="dxa"/>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10"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24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83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58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4,285.06</w:t>
            </w: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58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4.68</w:t>
            </w: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58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258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258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258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258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七、文化体育与传媒支出</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258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392.33</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387.65</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258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九、医疗卫生与计划生育支出</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10.41</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10.41</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258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258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258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3,887.00</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3,887.00</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258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258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十四、资源勘探信息等支出</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258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258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258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258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十八、国土海洋气象等支出</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258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258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258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二十一、其他支出</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本年收入合计</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258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4,289.74</w:t>
            </w: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本年支出合计</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4,289.74</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4,285.06</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年初财政拨款结转和结余</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258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年末财政拨款结转和结余</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一般公共预算财政拨款</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258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021"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910"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244"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83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政府性基金预算财政拨款</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258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021"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910"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244"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83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258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3021"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910"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244"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83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534"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258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4,289.74</w:t>
            </w:r>
          </w:p>
        </w:tc>
        <w:tc>
          <w:tcPr>
            <w:tcW w:w="302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53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4,289.74</w:t>
            </w:r>
          </w:p>
        </w:tc>
        <w:tc>
          <w:tcPr>
            <w:tcW w:w="124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4,285.06</w:t>
            </w:r>
          </w:p>
        </w:tc>
        <w:tc>
          <w:tcPr>
            <w:tcW w:w="83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2195" w:type="dxa"/>
            <w:gridSpan w:val="8"/>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注：本表反映部门本年度一般公共预算财政拨款和政府性基金预算财政拨款的总收支和年末结转结余情况。</w:t>
            </w:r>
          </w:p>
        </w:tc>
      </w:tr>
    </w:tbl>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tbl>
      <w:tblPr>
        <w:tblStyle w:val="8"/>
        <w:tblW w:w="103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298"/>
        <w:gridCol w:w="58"/>
        <w:gridCol w:w="58"/>
        <w:gridCol w:w="3697"/>
        <w:gridCol w:w="2217"/>
        <w:gridCol w:w="1013"/>
        <w:gridCol w:w="200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90" w:hRule="atLeast"/>
        </w:trPr>
        <w:tc>
          <w:tcPr>
            <w:tcW w:w="10350" w:type="dxa"/>
            <w:gridSpan w:val="7"/>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bidi="ar"/>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1298" w:type="dxa"/>
            <w:shd w:val="clear" w:color="auto" w:fill="auto"/>
            <w:vAlign w:val="bottom"/>
          </w:tcPr>
          <w:p>
            <w:pPr>
              <w:rPr>
                <w:rFonts w:hint="eastAsia" w:ascii="Arial" w:hAnsi="Arial" w:cs="Arial"/>
                <w:i w:val="0"/>
                <w:color w:val="000000"/>
                <w:sz w:val="20"/>
                <w:szCs w:val="20"/>
                <w:u w:val="none"/>
              </w:rPr>
            </w:pPr>
          </w:p>
        </w:tc>
        <w:tc>
          <w:tcPr>
            <w:tcW w:w="58" w:type="dxa"/>
            <w:shd w:val="clear" w:color="auto" w:fill="auto"/>
            <w:vAlign w:val="bottom"/>
          </w:tcPr>
          <w:p>
            <w:pPr>
              <w:rPr>
                <w:rFonts w:hint="default" w:ascii="Arial" w:hAnsi="Arial" w:cs="Arial"/>
                <w:i w:val="0"/>
                <w:color w:val="000000"/>
                <w:sz w:val="20"/>
                <w:szCs w:val="20"/>
                <w:u w:val="none"/>
              </w:rPr>
            </w:pPr>
          </w:p>
        </w:tc>
        <w:tc>
          <w:tcPr>
            <w:tcW w:w="58" w:type="dxa"/>
            <w:shd w:val="clear" w:color="auto" w:fill="auto"/>
            <w:vAlign w:val="bottom"/>
          </w:tcPr>
          <w:p>
            <w:pPr>
              <w:rPr>
                <w:rFonts w:hint="default" w:ascii="Arial" w:hAnsi="Arial" w:cs="Arial"/>
                <w:i w:val="0"/>
                <w:color w:val="000000"/>
                <w:sz w:val="20"/>
                <w:szCs w:val="20"/>
                <w:u w:val="none"/>
              </w:rPr>
            </w:pPr>
          </w:p>
        </w:tc>
        <w:tc>
          <w:tcPr>
            <w:tcW w:w="3697" w:type="dxa"/>
            <w:shd w:val="clear" w:color="auto" w:fill="auto"/>
            <w:vAlign w:val="bottom"/>
          </w:tcPr>
          <w:p>
            <w:pPr>
              <w:rPr>
                <w:rFonts w:hint="default" w:ascii="Arial" w:hAnsi="Arial" w:cs="Arial"/>
                <w:i w:val="0"/>
                <w:color w:val="000000"/>
                <w:sz w:val="20"/>
                <w:szCs w:val="20"/>
                <w:u w:val="none"/>
              </w:rPr>
            </w:pPr>
          </w:p>
        </w:tc>
        <w:tc>
          <w:tcPr>
            <w:tcW w:w="2217" w:type="dxa"/>
            <w:shd w:val="clear" w:color="auto" w:fill="auto"/>
            <w:vAlign w:val="bottom"/>
          </w:tcPr>
          <w:p>
            <w:pPr>
              <w:rPr>
                <w:rFonts w:hint="default" w:ascii="Arial" w:hAnsi="Arial" w:cs="Arial"/>
                <w:i w:val="0"/>
                <w:color w:val="000000"/>
                <w:sz w:val="20"/>
                <w:szCs w:val="20"/>
                <w:u w:val="none"/>
              </w:rPr>
            </w:pPr>
          </w:p>
        </w:tc>
        <w:tc>
          <w:tcPr>
            <w:tcW w:w="1013" w:type="dxa"/>
            <w:shd w:val="clear" w:color="auto" w:fill="auto"/>
            <w:vAlign w:val="bottom"/>
          </w:tcPr>
          <w:p>
            <w:pPr>
              <w:rPr>
                <w:rFonts w:hint="default" w:ascii="Arial" w:hAnsi="Arial" w:cs="Arial"/>
                <w:i w:val="0"/>
                <w:color w:val="000000"/>
                <w:sz w:val="20"/>
                <w:szCs w:val="20"/>
                <w:u w:val="none"/>
              </w:rPr>
            </w:pPr>
          </w:p>
        </w:tc>
        <w:tc>
          <w:tcPr>
            <w:tcW w:w="2009" w:type="dxa"/>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1298" w:type="dxa"/>
            <w:shd w:val="clear" w:color="auto" w:fill="auto"/>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部门：河南省周口市淮阳县水务局</w:t>
            </w:r>
          </w:p>
        </w:tc>
        <w:tc>
          <w:tcPr>
            <w:tcW w:w="58" w:type="dxa"/>
            <w:shd w:val="clear" w:color="auto" w:fill="auto"/>
            <w:vAlign w:val="bottom"/>
          </w:tcPr>
          <w:p>
            <w:pPr>
              <w:rPr>
                <w:rFonts w:hint="default" w:ascii="Arial" w:hAnsi="Arial" w:cs="Arial"/>
                <w:i w:val="0"/>
                <w:color w:val="000000"/>
                <w:sz w:val="20"/>
                <w:szCs w:val="20"/>
                <w:u w:val="none"/>
              </w:rPr>
            </w:pPr>
          </w:p>
        </w:tc>
        <w:tc>
          <w:tcPr>
            <w:tcW w:w="58" w:type="dxa"/>
            <w:shd w:val="clear" w:color="auto" w:fill="auto"/>
            <w:vAlign w:val="bottom"/>
          </w:tcPr>
          <w:p>
            <w:pPr>
              <w:rPr>
                <w:rFonts w:hint="default" w:ascii="Arial" w:hAnsi="Arial" w:cs="Arial"/>
                <w:i w:val="0"/>
                <w:color w:val="000000"/>
                <w:sz w:val="20"/>
                <w:szCs w:val="20"/>
                <w:u w:val="none"/>
              </w:rPr>
            </w:pPr>
          </w:p>
        </w:tc>
        <w:tc>
          <w:tcPr>
            <w:tcW w:w="3697" w:type="dxa"/>
            <w:shd w:val="clear" w:color="auto" w:fill="auto"/>
            <w:vAlign w:val="bottom"/>
          </w:tcPr>
          <w:p>
            <w:pPr>
              <w:rPr>
                <w:rFonts w:hint="default" w:ascii="Arial" w:hAnsi="Arial" w:cs="Arial"/>
                <w:i w:val="0"/>
                <w:color w:val="000000"/>
                <w:sz w:val="20"/>
                <w:szCs w:val="20"/>
                <w:u w:val="none"/>
              </w:rPr>
            </w:pPr>
          </w:p>
        </w:tc>
        <w:tc>
          <w:tcPr>
            <w:tcW w:w="2217" w:type="dxa"/>
            <w:shd w:val="clear" w:color="auto" w:fill="auto"/>
            <w:vAlign w:val="bottom"/>
          </w:tcPr>
          <w:p>
            <w:pPr>
              <w:rPr>
                <w:rFonts w:hint="default" w:ascii="Arial" w:hAnsi="Arial" w:cs="Arial"/>
                <w:i w:val="0"/>
                <w:color w:val="000000"/>
                <w:sz w:val="20"/>
                <w:szCs w:val="20"/>
                <w:u w:val="none"/>
              </w:rPr>
            </w:pPr>
          </w:p>
        </w:tc>
        <w:tc>
          <w:tcPr>
            <w:tcW w:w="1013" w:type="dxa"/>
            <w:shd w:val="clear" w:color="auto" w:fill="auto"/>
            <w:vAlign w:val="bottom"/>
          </w:tcPr>
          <w:p>
            <w:pPr>
              <w:rPr>
                <w:rFonts w:hint="default" w:ascii="Arial" w:hAnsi="Arial" w:cs="Arial"/>
                <w:i w:val="0"/>
                <w:color w:val="000000"/>
                <w:sz w:val="20"/>
                <w:szCs w:val="20"/>
                <w:u w:val="none"/>
              </w:rPr>
            </w:pPr>
          </w:p>
        </w:tc>
        <w:tc>
          <w:tcPr>
            <w:tcW w:w="2009" w:type="dxa"/>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111" w:type="dxa"/>
            <w:gridSpan w:val="4"/>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5239" w:type="dxa"/>
            <w:gridSpan w:val="3"/>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414" w:type="dxa"/>
            <w:gridSpan w:val="3"/>
            <w:vMerge w:val="restart"/>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697"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2217"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013"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2009"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70" w:hRule="atLeast"/>
        </w:trPr>
        <w:tc>
          <w:tcPr>
            <w:tcW w:w="1414" w:type="dxa"/>
            <w:gridSpan w:val="3"/>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3697"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2217"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13"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2009"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414" w:type="dxa"/>
            <w:gridSpan w:val="3"/>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3697"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2217"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13"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2009"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111" w:type="dxa"/>
            <w:gridSpan w:val="4"/>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221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013"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00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111" w:type="dxa"/>
            <w:gridSpan w:val="4"/>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4,285.06</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1,545.67</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2,739.39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387.65</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387.65</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行政事业单位离退休</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349.40</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349.40</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2080501</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归口管理的行政单位离退休</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46.19</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46.19</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2080502</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事业单位离退休</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54.10</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54.10</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249.12</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249.12</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20808</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抚恤</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38.25</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38.25</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2080801</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死亡抚恤</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38.25</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38.25</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医疗卫生与计划生育支出</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10.41</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10.41</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10.41</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10.41</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2101102</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事业单位医疗</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10.41</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10.41</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3,887.00</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1,147.61</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2,739.39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水利</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2,125.70</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1,147.61</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978.08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2130301</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143.74</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143.74</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2130305</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水利工程建设</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14.78</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2130306</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水利工程运行与维护</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90.09</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85.91</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2130309</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水利执法监督</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70.40</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70.40</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2130310</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水土保持</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1.94</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2130311</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水资源节约管理与保护</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11.00</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11.00</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2130314</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防汛</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128.59</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128.59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2130315</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抗旱</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47.64</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2130316</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农田水利</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404.07</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404.07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2130335</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农村人畜饮水</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346.88</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346.88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2130399</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其他水利支出</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866.56</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836.56</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扶贫</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1,761.31</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1,761.31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2130504</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农村基础设施建设</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1,357.00</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1,357.00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14"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2130599</w:t>
            </w:r>
          </w:p>
        </w:tc>
        <w:tc>
          <w:tcPr>
            <w:tcW w:w="3697"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其他扶贫支出</w:t>
            </w:r>
          </w:p>
        </w:tc>
        <w:tc>
          <w:tcPr>
            <w:tcW w:w="221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404.31</w:t>
            </w:r>
          </w:p>
        </w:tc>
        <w:tc>
          <w:tcPr>
            <w:tcW w:w="101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0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404.31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0350" w:type="dxa"/>
            <w:gridSpan w:val="7"/>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注：本表反映部门本年度一般公共预算财政拨款支出情况。</w:t>
            </w:r>
          </w:p>
        </w:tc>
      </w:tr>
    </w:tbl>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tbl>
      <w:tblPr>
        <w:tblStyle w:val="8"/>
        <w:tblW w:w="1371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839"/>
        <w:gridCol w:w="3172"/>
        <w:gridCol w:w="910"/>
        <w:gridCol w:w="839"/>
        <w:gridCol w:w="2305"/>
        <w:gridCol w:w="1109"/>
        <w:gridCol w:w="734"/>
        <w:gridCol w:w="2827"/>
        <w:gridCol w:w="9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90" w:hRule="atLeast"/>
        </w:trPr>
        <w:tc>
          <w:tcPr>
            <w:tcW w:w="13710" w:type="dxa"/>
            <w:gridSpan w:val="9"/>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bidi="ar"/>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839" w:type="dxa"/>
            <w:shd w:val="clear" w:color="auto" w:fill="auto"/>
            <w:vAlign w:val="bottom"/>
          </w:tcPr>
          <w:p>
            <w:pPr>
              <w:rPr>
                <w:rFonts w:hint="eastAsia" w:ascii="Arial" w:hAnsi="Arial" w:cs="Arial"/>
                <w:i w:val="0"/>
                <w:color w:val="000000"/>
                <w:sz w:val="20"/>
                <w:szCs w:val="20"/>
                <w:u w:val="none"/>
              </w:rPr>
            </w:pPr>
          </w:p>
        </w:tc>
        <w:tc>
          <w:tcPr>
            <w:tcW w:w="3172" w:type="dxa"/>
            <w:shd w:val="clear" w:color="auto" w:fill="auto"/>
            <w:vAlign w:val="bottom"/>
          </w:tcPr>
          <w:p>
            <w:pPr>
              <w:rPr>
                <w:rFonts w:hint="default" w:ascii="Arial" w:hAnsi="Arial" w:cs="Arial"/>
                <w:i w:val="0"/>
                <w:color w:val="000000"/>
                <w:sz w:val="20"/>
                <w:szCs w:val="20"/>
                <w:u w:val="none"/>
              </w:rPr>
            </w:pPr>
          </w:p>
        </w:tc>
        <w:tc>
          <w:tcPr>
            <w:tcW w:w="910" w:type="dxa"/>
            <w:shd w:val="clear" w:color="auto" w:fill="auto"/>
            <w:vAlign w:val="bottom"/>
          </w:tcPr>
          <w:p>
            <w:pPr>
              <w:rPr>
                <w:rFonts w:hint="default" w:ascii="Arial" w:hAnsi="Arial" w:cs="Arial"/>
                <w:i w:val="0"/>
                <w:color w:val="000000"/>
                <w:sz w:val="20"/>
                <w:szCs w:val="20"/>
                <w:u w:val="none"/>
              </w:rPr>
            </w:pPr>
          </w:p>
        </w:tc>
        <w:tc>
          <w:tcPr>
            <w:tcW w:w="839" w:type="dxa"/>
            <w:shd w:val="clear" w:color="auto" w:fill="auto"/>
            <w:vAlign w:val="bottom"/>
          </w:tcPr>
          <w:p>
            <w:pPr>
              <w:rPr>
                <w:rFonts w:hint="default" w:ascii="Arial" w:hAnsi="Arial" w:cs="Arial"/>
                <w:i w:val="0"/>
                <w:color w:val="000000"/>
                <w:sz w:val="20"/>
                <w:szCs w:val="20"/>
                <w:u w:val="none"/>
              </w:rPr>
            </w:pPr>
          </w:p>
        </w:tc>
        <w:tc>
          <w:tcPr>
            <w:tcW w:w="2305" w:type="dxa"/>
            <w:shd w:val="clear" w:color="auto" w:fill="auto"/>
            <w:vAlign w:val="bottom"/>
          </w:tcPr>
          <w:p>
            <w:pPr>
              <w:rPr>
                <w:rFonts w:hint="default" w:ascii="Arial" w:hAnsi="Arial" w:cs="Arial"/>
                <w:i w:val="0"/>
                <w:color w:val="000000"/>
                <w:sz w:val="20"/>
                <w:szCs w:val="20"/>
                <w:u w:val="none"/>
              </w:rPr>
            </w:pPr>
          </w:p>
        </w:tc>
        <w:tc>
          <w:tcPr>
            <w:tcW w:w="1109" w:type="dxa"/>
            <w:shd w:val="clear" w:color="auto" w:fill="auto"/>
            <w:vAlign w:val="bottom"/>
          </w:tcPr>
          <w:p>
            <w:pPr>
              <w:rPr>
                <w:rFonts w:hint="default" w:ascii="Arial" w:hAnsi="Arial" w:cs="Arial"/>
                <w:i w:val="0"/>
                <w:color w:val="000000"/>
                <w:sz w:val="20"/>
                <w:szCs w:val="20"/>
                <w:u w:val="none"/>
              </w:rPr>
            </w:pPr>
          </w:p>
        </w:tc>
        <w:tc>
          <w:tcPr>
            <w:tcW w:w="734" w:type="dxa"/>
            <w:shd w:val="clear" w:color="auto" w:fill="auto"/>
            <w:vAlign w:val="bottom"/>
          </w:tcPr>
          <w:p>
            <w:pPr>
              <w:rPr>
                <w:rFonts w:hint="default" w:ascii="Arial" w:hAnsi="Arial" w:cs="Arial"/>
                <w:i w:val="0"/>
                <w:color w:val="000000"/>
                <w:sz w:val="20"/>
                <w:szCs w:val="20"/>
                <w:u w:val="none"/>
              </w:rPr>
            </w:pPr>
          </w:p>
        </w:tc>
        <w:tc>
          <w:tcPr>
            <w:tcW w:w="2827" w:type="dxa"/>
            <w:shd w:val="clear" w:color="auto" w:fill="auto"/>
            <w:vAlign w:val="bottom"/>
          </w:tcPr>
          <w:p>
            <w:pPr>
              <w:rPr>
                <w:rFonts w:hint="default" w:ascii="Arial" w:hAnsi="Arial" w:cs="Arial"/>
                <w:i w:val="0"/>
                <w:color w:val="000000"/>
                <w:sz w:val="20"/>
                <w:szCs w:val="20"/>
                <w:u w:val="none"/>
              </w:rPr>
            </w:pPr>
          </w:p>
        </w:tc>
        <w:tc>
          <w:tcPr>
            <w:tcW w:w="975" w:type="dxa"/>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839" w:type="dxa"/>
            <w:shd w:val="clear" w:color="auto" w:fill="auto"/>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部门：河南省周口市淮阳县水务局</w:t>
            </w:r>
          </w:p>
        </w:tc>
        <w:tc>
          <w:tcPr>
            <w:tcW w:w="3172" w:type="dxa"/>
            <w:shd w:val="clear" w:color="auto" w:fill="auto"/>
            <w:vAlign w:val="bottom"/>
          </w:tcPr>
          <w:p>
            <w:pPr>
              <w:rPr>
                <w:rFonts w:hint="default" w:ascii="Arial" w:hAnsi="Arial" w:cs="Arial"/>
                <w:i w:val="0"/>
                <w:color w:val="000000"/>
                <w:sz w:val="20"/>
                <w:szCs w:val="20"/>
                <w:u w:val="none"/>
              </w:rPr>
            </w:pPr>
          </w:p>
        </w:tc>
        <w:tc>
          <w:tcPr>
            <w:tcW w:w="910" w:type="dxa"/>
            <w:shd w:val="clear" w:color="auto" w:fill="auto"/>
            <w:vAlign w:val="bottom"/>
          </w:tcPr>
          <w:p>
            <w:pPr>
              <w:rPr>
                <w:rFonts w:hint="default" w:ascii="Arial" w:hAnsi="Arial" w:cs="Arial"/>
                <w:i w:val="0"/>
                <w:color w:val="000000"/>
                <w:sz w:val="20"/>
                <w:szCs w:val="20"/>
                <w:u w:val="none"/>
              </w:rPr>
            </w:pPr>
          </w:p>
        </w:tc>
        <w:tc>
          <w:tcPr>
            <w:tcW w:w="839" w:type="dxa"/>
            <w:shd w:val="clear" w:color="auto" w:fill="auto"/>
            <w:vAlign w:val="bottom"/>
          </w:tcPr>
          <w:p>
            <w:pPr>
              <w:rPr>
                <w:rFonts w:hint="default" w:ascii="Arial" w:hAnsi="Arial" w:cs="Arial"/>
                <w:i w:val="0"/>
                <w:color w:val="000000"/>
                <w:sz w:val="20"/>
                <w:szCs w:val="20"/>
                <w:u w:val="none"/>
              </w:rPr>
            </w:pPr>
          </w:p>
        </w:tc>
        <w:tc>
          <w:tcPr>
            <w:tcW w:w="2305" w:type="dxa"/>
            <w:shd w:val="clear" w:color="auto" w:fill="auto"/>
            <w:vAlign w:val="bottom"/>
          </w:tcPr>
          <w:p>
            <w:pPr>
              <w:rPr>
                <w:rFonts w:hint="default" w:ascii="Arial" w:hAnsi="Arial" w:cs="Arial"/>
                <w:i w:val="0"/>
                <w:color w:val="000000"/>
                <w:sz w:val="20"/>
                <w:szCs w:val="20"/>
                <w:u w:val="none"/>
              </w:rPr>
            </w:pPr>
          </w:p>
        </w:tc>
        <w:tc>
          <w:tcPr>
            <w:tcW w:w="1109" w:type="dxa"/>
            <w:shd w:val="clear" w:color="auto" w:fill="auto"/>
            <w:vAlign w:val="bottom"/>
          </w:tcPr>
          <w:p>
            <w:pPr>
              <w:rPr>
                <w:rFonts w:hint="default" w:ascii="Arial" w:hAnsi="Arial" w:cs="Arial"/>
                <w:i w:val="0"/>
                <w:color w:val="000000"/>
                <w:sz w:val="20"/>
                <w:szCs w:val="20"/>
                <w:u w:val="none"/>
              </w:rPr>
            </w:pPr>
          </w:p>
        </w:tc>
        <w:tc>
          <w:tcPr>
            <w:tcW w:w="734" w:type="dxa"/>
            <w:shd w:val="clear" w:color="auto" w:fill="auto"/>
            <w:vAlign w:val="bottom"/>
          </w:tcPr>
          <w:p>
            <w:pPr>
              <w:rPr>
                <w:rFonts w:hint="default" w:ascii="Arial" w:hAnsi="Arial" w:cs="Arial"/>
                <w:i w:val="0"/>
                <w:color w:val="000000"/>
                <w:sz w:val="20"/>
                <w:szCs w:val="20"/>
                <w:u w:val="none"/>
              </w:rPr>
            </w:pPr>
          </w:p>
        </w:tc>
        <w:tc>
          <w:tcPr>
            <w:tcW w:w="2827" w:type="dxa"/>
            <w:shd w:val="clear" w:color="auto" w:fill="auto"/>
            <w:vAlign w:val="bottom"/>
          </w:tcPr>
          <w:p>
            <w:pPr>
              <w:rPr>
                <w:rFonts w:hint="default" w:ascii="Arial" w:hAnsi="Arial" w:cs="Arial"/>
                <w:i w:val="0"/>
                <w:color w:val="000000"/>
                <w:sz w:val="20"/>
                <w:szCs w:val="20"/>
                <w:u w:val="none"/>
              </w:rPr>
            </w:pPr>
          </w:p>
        </w:tc>
        <w:tc>
          <w:tcPr>
            <w:tcW w:w="975" w:type="dxa"/>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921" w:type="dxa"/>
            <w:gridSpan w:val="3"/>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w:t>
            </w:r>
          </w:p>
        </w:tc>
        <w:tc>
          <w:tcPr>
            <w:tcW w:w="8789" w:type="dxa"/>
            <w:gridSpan w:val="6"/>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839" w:type="dxa"/>
            <w:vMerge w:val="restart"/>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经济分类科目编码</w:t>
            </w:r>
          </w:p>
        </w:tc>
        <w:tc>
          <w:tcPr>
            <w:tcW w:w="3172"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910"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839"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经济分类科目编码</w:t>
            </w:r>
          </w:p>
        </w:tc>
        <w:tc>
          <w:tcPr>
            <w:tcW w:w="2305"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109"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734"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经济分类科目编码</w:t>
            </w:r>
          </w:p>
        </w:tc>
        <w:tc>
          <w:tcPr>
            <w:tcW w:w="2827"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975"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15" w:hRule="atLeast"/>
        </w:trPr>
        <w:tc>
          <w:tcPr>
            <w:tcW w:w="839" w:type="dxa"/>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3172"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10"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839"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2305"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109"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734"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2827"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75"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工资福利支出</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1,063.90</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商品和服务支出</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332.84</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其他资本性支出</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30101</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基本工资</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420.55</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30201</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办公费</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189.07</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31001</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房屋建筑物购建</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30102</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津贴补贴</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388.97</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30202</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印刷费</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4.95</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31002</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办公设备购置</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30103</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奖金</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1.51</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30203</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咨询费</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31003</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专用设备购置</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30104</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其他社会保障缴费</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30204</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手续费</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31005</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基础设施建设</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30106</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伙食补助费</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30205</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水费</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0.81</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31006</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大型修缮</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30107</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绩效工资</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30206</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电费</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4.89</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31007</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信息网络及软件购置更新</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30108</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249.12</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30207</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邮电费</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31008</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物资储备</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30109</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职业年金缴费</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30208</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取暖费</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31009</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土地补偿</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30199</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其他工资福利支出</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3.75</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30209</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物业管理费</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31010</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安置补助</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对个人和家庭的补助</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148.94</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30211</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差旅费</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7.95</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31011</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地上附着物和青苗补偿</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30301</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离休费</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9.86</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30212</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因公出国（境）费用</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31012</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拆迁补偿</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30302</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退休费</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90.42</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30213</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维修(护)费</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47.62</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31013</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公务用车购置</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30303</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退职（役）费</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30214</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租赁费</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17.42</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31019</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其他交通工具购置</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30304</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抚恤金</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38.25</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30215</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会议费</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31020</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产权参股</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30305</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生活补助</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30216</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培训费</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0.93</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31099</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其他资本性支出</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30306</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救济费</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30217</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公务接待费</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2.17</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304</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对企事业单位的补贴</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30"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30307</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医疗费</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10.41</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30218</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专用材料费</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30401</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企业政策性补贴</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30308</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助学金</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30224</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被装购置费</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30402</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事业单位补贴</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30309</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奖励金</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30225</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专用燃料费</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30403</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财政贴息</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30310</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生产补贴</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30226</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劳务费</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2.74</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30499</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其他对企事业单位的补贴</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30311</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30227</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委托业务费</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23.00</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债务利息支出</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30312</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提租补贴</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30228</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工会经费</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30701</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国内债务付息</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30313</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购房补贴</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30229</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福利费</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1.66</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30707</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国外债务付息</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30314</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采暖补贴</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30231</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公务用车运行维护费</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8.10</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其他支出</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30315</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物业服务补贴</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30239</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其他交通费用</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18.32</w:t>
            </w:r>
          </w:p>
        </w:tc>
        <w:tc>
          <w:tcPr>
            <w:tcW w:w="734"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39906</w:t>
            </w:r>
          </w:p>
        </w:tc>
        <w:tc>
          <w:tcPr>
            <w:tcW w:w="2827"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赠与</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30399</w:t>
            </w:r>
          </w:p>
        </w:tc>
        <w:tc>
          <w:tcPr>
            <w:tcW w:w="317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其他对个人和家庭的补助支出</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30240</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税金及附加费用</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34"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827"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975"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3172"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910"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839"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30299</w:t>
            </w:r>
          </w:p>
        </w:tc>
        <w:tc>
          <w:tcPr>
            <w:tcW w:w="2305"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其他商品和服务支出</w:t>
            </w:r>
          </w:p>
        </w:tc>
        <w:tc>
          <w:tcPr>
            <w:tcW w:w="110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34"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827"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975"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011" w:type="dxa"/>
            <w:gridSpan w:val="2"/>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人员经费合计</w:t>
            </w:r>
          </w:p>
        </w:tc>
        <w:tc>
          <w:tcPr>
            <w:tcW w:w="91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1,212.83</w:t>
            </w:r>
          </w:p>
        </w:tc>
        <w:tc>
          <w:tcPr>
            <w:tcW w:w="7814" w:type="dxa"/>
            <w:gridSpan w:val="5"/>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公用经费合计</w:t>
            </w:r>
          </w:p>
        </w:tc>
        <w:tc>
          <w:tcPr>
            <w:tcW w:w="97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332.84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3710" w:type="dxa"/>
            <w:gridSpan w:val="9"/>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注：本表反映部门本年度一般公共预算财政拨款基本支出明细情况。</w:t>
            </w:r>
          </w:p>
        </w:tc>
      </w:tr>
    </w:tbl>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tbl>
      <w:tblPr>
        <w:tblStyle w:val="8"/>
        <w:tblW w:w="1242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824"/>
        <w:gridCol w:w="914"/>
        <w:gridCol w:w="764"/>
        <w:gridCol w:w="1408"/>
        <w:gridCol w:w="1078"/>
        <w:gridCol w:w="1033"/>
        <w:gridCol w:w="869"/>
        <w:gridCol w:w="1019"/>
        <w:gridCol w:w="959"/>
        <w:gridCol w:w="1108"/>
        <w:gridCol w:w="960"/>
        <w:gridCol w:w="148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40" w:hRule="atLeast"/>
        </w:trPr>
        <w:tc>
          <w:tcPr>
            <w:tcW w:w="12425" w:type="dxa"/>
            <w:gridSpan w:val="12"/>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44"/>
                <w:szCs w:val="44"/>
                <w:u w:val="none"/>
              </w:rPr>
            </w:pPr>
            <w:r>
              <w:rPr>
                <w:rFonts w:hint="eastAsia" w:ascii="宋体" w:hAnsi="宋体" w:eastAsia="宋体" w:cs="宋体"/>
                <w:i w:val="0"/>
                <w:color w:val="000000"/>
                <w:kern w:val="0"/>
                <w:sz w:val="44"/>
                <w:szCs w:val="44"/>
                <w:u w:val="none"/>
                <w:lang w:val="en-US" w:eastAsia="zh-CN" w:bidi="ar"/>
              </w:rPr>
              <w:t>一般公共预算财政拨款“三公”经费支出决算表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824" w:type="dxa"/>
            <w:shd w:val="clear" w:color="auto" w:fill="auto"/>
            <w:vAlign w:val="bottom"/>
          </w:tcPr>
          <w:p>
            <w:pPr>
              <w:rPr>
                <w:rFonts w:hint="eastAsia" w:ascii="Arial" w:hAnsi="Arial" w:cs="Arial"/>
                <w:i w:val="0"/>
                <w:color w:val="000000"/>
                <w:sz w:val="20"/>
                <w:szCs w:val="20"/>
                <w:u w:val="none"/>
              </w:rPr>
            </w:pPr>
          </w:p>
        </w:tc>
        <w:tc>
          <w:tcPr>
            <w:tcW w:w="914" w:type="dxa"/>
            <w:shd w:val="clear" w:color="auto" w:fill="auto"/>
            <w:vAlign w:val="bottom"/>
          </w:tcPr>
          <w:p>
            <w:pPr>
              <w:rPr>
                <w:rFonts w:hint="default" w:ascii="Arial" w:hAnsi="Arial" w:cs="Arial"/>
                <w:i w:val="0"/>
                <w:color w:val="000000"/>
                <w:sz w:val="20"/>
                <w:szCs w:val="20"/>
                <w:u w:val="none"/>
              </w:rPr>
            </w:pPr>
          </w:p>
        </w:tc>
        <w:tc>
          <w:tcPr>
            <w:tcW w:w="764" w:type="dxa"/>
            <w:shd w:val="clear" w:color="auto" w:fill="auto"/>
            <w:vAlign w:val="bottom"/>
          </w:tcPr>
          <w:p>
            <w:pPr>
              <w:rPr>
                <w:rFonts w:hint="default" w:ascii="Arial" w:hAnsi="Arial" w:cs="Arial"/>
                <w:i w:val="0"/>
                <w:color w:val="000000"/>
                <w:sz w:val="20"/>
                <w:szCs w:val="20"/>
                <w:u w:val="none"/>
              </w:rPr>
            </w:pPr>
          </w:p>
        </w:tc>
        <w:tc>
          <w:tcPr>
            <w:tcW w:w="1408" w:type="dxa"/>
            <w:shd w:val="clear" w:color="auto" w:fill="auto"/>
            <w:vAlign w:val="bottom"/>
          </w:tcPr>
          <w:p>
            <w:pPr>
              <w:rPr>
                <w:rFonts w:hint="default" w:ascii="Arial" w:hAnsi="Arial" w:cs="Arial"/>
                <w:i w:val="0"/>
                <w:color w:val="000000"/>
                <w:sz w:val="20"/>
                <w:szCs w:val="20"/>
                <w:u w:val="none"/>
              </w:rPr>
            </w:pPr>
          </w:p>
        </w:tc>
        <w:tc>
          <w:tcPr>
            <w:tcW w:w="1078" w:type="dxa"/>
            <w:shd w:val="clear" w:color="auto" w:fill="auto"/>
            <w:vAlign w:val="bottom"/>
          </w:tcPr>
          <w:p>
            <w:pPr>
              <w:rPr>
                <w:rFonts w:hint="default" w:ascii="Arial" w:hAnsi="Arial" w:cs="Arial"/>
                <w:i w:val="0"/>
                <w:color w:val="000000"/>
                <w:sz w:val="20"/>
                <w:szCs w:val="20"/>
                <w:u w:val="none"/>
              </w:rPr>
            </w:pPr>
          </w:p>
        </w:tc>
        <w:tc>
          <w:tcPr>
            <w:tcW w:w="1033" w:type="dxa"/>
            <w:shd w:val="clear" w:color="auto" w:fill="auto"/>
            <w:vAlign w:val="bottom"/>
          </w:tcPr>
          <w:p>
            <w:pPr>
              <w:rPr>
                <w:rFonts w:hint="default" w:ascii="Arial" w:hAnsi="Arial" w:cs="Arial"/>
                <w:i w:val="0"/>
                <w:color w:val="000000"/>
                <w:sz w:val="20"/>
                <w:szCs w:val="20"/>
                <w:u w:val="none"/>
              </w:rPr>
            </w:pPr>
          </w:p>
        </w:tc>
        <w:tc>
          <w:tcPr>
            <w:tcW w:w="869" w:type="dxa"/>
            <w:shd w:val="clear" w:color="auto" w:fill="auto"/>
            <w:vAlign w:val="bottom"/>
          </w:tcPr>
          <w:p>
            <w:pPr>
              <w:rPr>
                <w:rFonts w:hint="default" w:ascii="Arial" w:hAnsi="Arial" w:cs="Arial"/>
                <w:i w:val="0"/>
                <w:color w:val="000000"/>
                <w:sz w:val="20"/>
                <w:szCs w:val="20"/>
                <w:u w:val="none"/>
              </w:rPr>
            </w:pPr>
          </w:p>
        </w:tc>
        <w:tc>
          <w:tcPr>
            <w:tcW w:w="1019" w:type="dxa"/>
            <w:shd w:val="clear" w:color="auto" w:fill="auto"/>
            <w:vAlign w:val="bottom"/>
          </w:tcPr>
          <w:p>
            <w:pPr>
              <w:rPr>
                <w:rFonts w:hint="default" w:ascii="Arial" w:hAnsi="Arial" w:cs="Arial"/>
                <w:i w:val="0"/>
                <w:color w:val="000000"/>
                <w:sz w:val="20"/>
                <w:szCs w:val="20"/>
                <w:u w:val="none"/>
              </w:rPr>
            </w:pPr>
          </w:p>
        </w:tc>
        <w:tc>
          <w:tcPr>
            <w:tcW w:w="959" w:type="dxa"/>
            <w:shd w:val="clear" w:color="auto" w:fill="auto"/>
            <w:vAlign w:val="bottom"/>
          </w:tcPr>
          <w:p>
            <w:pPr>
              <w:rPr>
                <w:rFonts w:hint="default" w:ascii="Arial" w:hAnsi="Arial" w:cs="Arial"/>
                <w:i w:val="0"/>
                <w:color w:val="000000"/>
                <w:sz w:val="20"/>
                <w:szCs w:val="20"/>
                <w:u w:val="none"/>
              </w:rPr>
            </w:pPr>
          </w:p>
        </w:tc>
        <w:tc>
          <w:tcPr>
            <w:tcW w:w="1108" w:type="dxa"/>
            <w:shd w:val="clear" w:color="auto" w:fill="auto"/>
            <w:vAlign w:val="bottom"/>
          </w:tcPr>
          <w:p>
            <w:pPr>
              <w:rPr>
                <w:rFonts w:hint="default" w:ascii="Arial" w:hAnsi="Arial" w:cs="Arial"/>
                <w:i w:val="0"/>
                <w:color w:val="000000"/>
                <w:sz w:val="20"/>
                <w:szCs w:val="20"/>
                <w:u w:val="none"/>
              </w:rPr>
            </w:pPr>
          </w:p>
        </w:tc>
        <w:tc>
          <w:tcPr>
            <w:tcW w:w="960" w:type="dxa"/>
            <w:shd w:val="clear" w:color="auto" w:fill="auto"/>
            <w:vAlign w:val="bottom"/>
          </w:tcPr>
          <w:p>
            <w:pPr>
              <w:rPr>
                <w:rFonts w:hint="default" w:ascii="Arial" w:hAnsi="Arial" w:cs="Arial"/>
                <w:i w:val="0"/>
                <w:color w:val="000000"/>
                <w:sz w:val="20"/>
                <w:szCs w:val="20"/>
                <w:u w:val="none"/>
              </w:rPr>
            </w:pPr>
          </w:p>
        </w:tc>
        <w:tc>
          <w:tcPr>
            <w:tcW w:w="1489" w:type="dxa"/>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824" w:type="dxa"/>
            <w:shd w:val="clear" w:color="auto" w:fill="auto"/>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部门：河南省周口市淮阳县水务局</w:t>
            </w:r>
          </w:p>
        </w:tc>
        <w:tc>
          <w:tcPr>
            <w:tcW w:w="914" w:type="dxa"/>
            <w:shd w:val="clear" w:color="auto" w:fill="auto"/>
            <w:vAlign w:val="bottom"/>
          </w:tcPr>
          <w:p>
            <w:pPr>
              <w:rPr>
                <w:rFonts w:hint="default" w:ascii="Arial" w:hAnsi="Arial" w:cs="Arial"/>
                <w:i w:val="0"/>
                <w:color w:val="000000"/>
                <w:sz w:val="20"/>
                <w:szCs w:val="20"/>
                <w:u w:val="none"/>
              </w:rPr>
            </w:pPr>
          </w:p>
        </w:tc>
        <w:tc>
          <w:tcPr>
            <w:tcW w:w="764" w:type="dxa"/>
            <w:shd w:val="clear" w:color="auto" w:fill="auto"/>
            <w:vAlign w:val="bottom"/>
          </w:tcPr>
          <w:p>
            <w:pPr>
              <w:rPr>
                <w:rFonts w:hint="default" w:ascii="Arial" w:hAnsi="Arial" w:cs="Arial"/>
                <w:i w:val="0"/>
                <w:color w:val="000000"/>
                <w:sz w:val="20"/>
                <w:szCs w:val="20"/>
                <w:u w:val="none"/>
              </w:rPr>
            </w:pPr>
          </w:p>
        </w:tc>
        <w:tc>
          <w:tcPr>
            <w:tcW w:w="1408" w:type="dxa"/>
            <w:shd w:val="clear" w:color="auto" w:fill="auto"/>
            <w:vAlign w:val="bottom"/>
          </w:tcPr>
          <w:p>
            <w:pPr>
              <w:rPr>
                <w:rFonts w:hint="default" w:ascii="Arial" w:hAnsi="Arial" w:cs="Arial"/>
                <w:i w:val="0"/>
                <w:color w:val="000000"/>
                <w:sz w:val="20"/>
                <w:szCs w:val="20"/>
                <w:u w:val="none"/>
              </w:rPr>
            </w:pPr>
          </w:p>
        </w:tc>
        <w:tc>
          <w:tcPr>
            <w:tcW w:w="1078" w:type="dxa"/>
            <w:shd w:val="clear" w:color="auto" w:fill="auto"/>
            <w:vAlign w:val="bottom"/>
          </w:tcPr>
          <w:p>
            <w:pPr>
              <w:rPr>
                <w:rFonts w:hint="default" w:ascii="Arial" w:hAnsi="Arial" w:cs="Arial"/>
                <w:i w:val="0"/>
                <w:color w:val="000000"/>
                <w:sz w:val="20"/>
                <w:szCs w:val="20"/>
                <w:u w:val="none"/>
              </w:rPr>
            </w:pPr>
          </w:p>
        </w:tc>
        <w:tc>
          <w:tcPr>
            <w:tcW w:w="1033" w:type="dxa"/>
            <w:shd w:val="clear" w:color="auto" w:fill="auto"/>
            <w:vAlign w:val="bottom"/>
          </w:tcPr>
          <w:p>
            <w:pPr>
              <w:rPr>
                <w:rFonts w:hint="default" w:ascii="Arial" w:hAnsi="Arial" w:cs="Arial"/>
                <w:i w:val="0"/>
                <w:color w:val="000000"/>
                <w:sz w:val="20"/>
                <w:szCs w:val="20"/>
                <w:u w:val="none"/>
              </w:rPr>
            </w:pPr>
          </w:p>
        </w:tc>
        <w:tc>
          <w:tcPr>
            <w:tcW w:w="869" w:type="dxa"/>
            <w:shd w:val="clear" w:color="auto" w:fill="auto"/>
            <w:vAlign w:val="bottom"/>
          </w:tcPr>
          <w:p>
            <w:pPr>
              <w:rPr>
                <w:rFonts w:hint="default" w:ascii="Arial" w:hAnsi="Arial" w:cs="Arial"/>
                <w:i w:val="0"/>
                <w:color w:val="000000"/>
                <w:sz w:val="20"/>
                <w:szCs w:val="20"/>
                <w:u w:val="none"/>
              </w:rPr>
            </w:pPr>
          </w:p>
        </w:tc>
        <w:tc>
          <w:tcPr>
            <w:tcW w:w="1019" w:type="dxa"/>
            <w:shd w:val="clear" w:color="auto" w:fill="auto"/>
            <w:vAlign w:val="bottom"/>
          </w:tcPr>
          <w:p>
            <w:pPr>
              <w:rPr>
                <w:rFonts w:hint="default" w:ascii="Arial" w:hAnsi="Arial" w:cs="Arial"/>
                <w:i w:val="0"/>
                <w:color w:val="000000"/>
                <w:sz w:val="20"/>
                <w:szCs w:val="20"/>
                <w:u w:val="none"/>
              </w:rPr>
            </w:pPr>
          </w:p>
        </w:tc>
        <w:tc>
          <w:tcPr>
            <w:tcW w:w="959" w:type="dxa"/>
            <w:shd w:val="clear" w:color="auto" w:fill="auto"/>
            <w:vAlign w:val="bottom"/>
          </w:tcPr>
          <w:p>
            <w:pPr>
              <w:rPr>
                <w:rFonts w:hint="default" w:ascii="Arial" w:hAnsi="Arial" w:cs="Arial"/>
                <w:i w:val="0"/>
                <w:color w:val="000000"/>
                <w:sz w:val="20"/>
                <w:szCs w:val="20"/>
                <w:u w:val="none"/>
              </w:rPr>
            </w:pPr>
          </w:p>
        </w:tc>
        <w:tc>
          <w:tcPr>
            <w:tcW w:w="1108" w:type="dxa"/>
            <w:shd w:val="clear" w:color="auto" w:fill="auto"/>
            <w:vAlign w:val="bottom"/>
          </w:tcPr>
          <w:p>
            <w:pPr>
              <w:rPr>
                <w:rFonts w:hint="default" w:ascii="Arial" w:hAnsi="Arial" w:cs="Arial"/>
                <w:i w:val="0"/>
                <w:color w:val="000000"/>
                <w:sz w:val="20"/>
                <w:szCs w:val="20"/>
                <w:u w:val="none"/>
              </w:rPr>
            </w:pPr>
          </w:p>
        </w:tc>
        <w:tc>
          <w:tcPr>
            <w:tcW w:w="960" w:type="dxa"/>
            <w:shd w:val="clear" w:color="auto" w:fill="auto"/>
            <w:vAlign w:val="bottom"/>
          </w:tcPr>
          <w:p>
            <w:pPr>
              <w:rPr>
                <w:rFonts w:hint="default" w:ascii="Arial" w:hAnsi="Arial" w:cs="Arial"/>
                <w:i w:val="0"/>
                <w:color w:val="000000"/>
                <w:sz w:val="20"/>
                <w:szCs w:val="20"/>
                <w:u w:val="none"/>
              </w:rPr>
            </w:pPr>
          </w:p>
        </w:tc>
        <w:tc>
          <w:tcPr>
            <w:tcW w:w="1489" w:type="dxa"/>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6021" w:type="dxa"/>
            <w:gridSpan w:val="6"/>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6404" w:type="dxa"/>
            <w:gridSpan w:val="6"/>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24" w:type="dxa"/>
            <w:vMerge w:val="restart"/>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914"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因公出国（境）费</w:t>
            </w:r>
          </w:p>
        </w:tc>
        <w:tc>
          <w:tcPr>
            <w:tcW w:w="3250" w:type="dxa"/>
            <w:gridSpan w:val="3"/>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公务用车购置及运行费</w:t>
            </w:r>
          </w:p>
        </w:tc>
        <w:tc>
          <w:tcPr>
            <w:tcW w:w="1033"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公务接待费</w:t>
            </w:r>
          </w:p>
        </w:tc>
        <w:tc>
          <w:tcPr>
            <w:tcW w:w="869"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019"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因公出国（境）费</w:t>
            </w:r>
          </w:p>
        </w:tc>
        <w:tc>
          <w:tcPr>
            <w:tcW w:w="3027" w:type="dxa"/>
            <w:gridSpan w:val="3"/>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公务用车购置及运行费</w:t>
            </w:r>
          </w:p>
        </w:tc>
        <w:tc>
          <w:tcPr>
            <w:tcW w:w="1489"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15" w:hRule="atLeast"/>
        </w:trPr>
        <w:tc>
          <w:tcPr>
            <w:tcW w:w="824" w:type="dxa"/>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14"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7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40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公务用车购置费</w:t>
            </w:r>
          </w:p>
        </w:tc>
        <w:tc>
          <w:tcPr>
            <w:tcW w:w="10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公务用车运行费</w:t>
            </w:r>
          </w:p>
        </w:tc>
        <w:tc>
          <w:tcPr>
            <w:tcW w:w="1033"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869"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19"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5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10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公务用车购置费</w:t>
            </w:r>
          </w:p>
        </w:tc>
        <w:tc>
          <w:tcPr>
            <w:tcW w:w="960"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公务用车运行费</w:t>
            </w:r>
          </w:p>
        </w:tc>
        <w:tc>
          <w:tcPr>
            <w:tcW w:w="1489"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24"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91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7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40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0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033"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86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01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95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10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60"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48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24"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10.84</w:t>
            </w:r>
          </w:p>
        </w:tc>
        <w:tc>
          <w:tcPr>
            <w:tcW w:w="9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6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8.64</w:t>
            </w:r>
          </w:p>
        </w:tc>
        <w:tc>
          <w:tcPr>
            <w:tcW w:w="140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7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8.64</w:t>
            </w:r>
          </w:p>
        </w:tc>
        <w:tc>
          <w:tcPr>
            <w:tcW w:w="10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2.20</w:t>
            </w:r>
          </w:p>
        </w:tc>
        <w:tc>
          <w:tcPr>
            <w:tcW w:w="86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10.27</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5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8.10</w:t>
            </w:r>
          </w:p>
        </w:tc>
        <w:tc>
          <w:tcPr>
            <w:tcW w:w="110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6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8.10</w:t>
            </w:r>
          </w:p>
        </w:tc>
        <w:tc>
          <w:tcPr>
            <w:tcW w:w="148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824"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1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6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40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7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6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5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10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6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48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15" w:hRule="atLeast"/>
        </w:trPr>
        <w:tc>
          <w:tcPr>
            <w:tcW w:w="12425" w:type="dxa"/>
            <w:gridSpan w:val="12"/>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注：本表反映部门本年度“三公”经费支出预决算情况。其中：预算数为“三公”经费年初预算数，决算数是包括当年一般公共预算财政拨款和以前年度结转资金安排的实际支出。</w:t>
            </w:r>
          </w:p>
        </w:tc>
      </w:tr>
    </w:tbl>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p>
      <w:pPr>
        <w:pStyle w:val="2"/>
        <w:spacing w:before="2" w:line="365" w:lineRule="auto"/>
        <w:ind w:right="272"/>
        <w:jc w:val="both"/>
        <w:rPr>
          <w:lang w:val="en-US"/>
        </w:rPr>
      </w:pPr>
    </w:p>
    <w:tbl>
      <w:tblPr>
        <w:tblStyle w:val="8"/>
        <w:tblW w:w="1263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321"/>
        <w:gridCol w:w="58"/>
        <w:gridCol w:w="58"/>
        <w:gridCol w:w="3162"/>
        <w:gridCol w:w="1720"/>
        <w:gridCol w:w="1002"/>
        <w:gridCol w:w="793"/>
        <w:gridCol w:w="1047"/>
        <w:gridCol w:w="1196"/>
        <w:gridCol w:w="227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90" w:hRule="atLeast"/>
        </w:trPr>
        <w:tc>
          <w:tcPr>
            <w:tcW w:w="12630" w:type="dxa"/>
            <w:gridSpan w:val="10"/>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bidi="ar"/>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1321" w:type="dxa"/>
            <w:shd w:val="clear" w:color="auto" w:fill="auto"/>
            <w:vAlign w:val="bottom"/>
          </w:tcPr>
          <w:p>
            <w:pPr>
              <w:rPr>
                <w:rFonts w:hint="eastAsia" w:ascii="Arial" w:hAnsi="Arial" w:cs="Arial"/>
                <w:i w:val="0"/>
                <w:color w:val="000000"/>
                <w:sz w:val="20"/>
                <w:szCs w:val="20"/>
                <w:u w:val="none"/>
              </w:rPr>
            </w:pPr>
          </w:p>
        </w:tc>
        <w:tc>
          <w:tcPr>
            <w:tcW w:w="58" w:type="dxa"/>
            <w:shd w:val="clear" w:color="auto" w:fill="auto"/>
            <w:vAlign w:val="bottom"/>
          </w:tcPr>
          <w:p>
            <w:pPr>
              <w:rPr>
                <w:rFonts w:hint="default" w:ascii="Arial" w:hAnsi="Arial" w:cs="Arial"/>
                <w:i w:val="0"/>
                <w:color w:val="000000"/>
                <w:sz w:val="20"/>
                <w:szCs w:val="20"/>
                <w:u w:val="none"/>
              </w:rPr>
            </w:pPr>
          </w:p>
        </w:tc>
        <w:tc>
          <w:tcPr>
            <w:tcW w:w="58" w:type="dxa"/>
            <w:shd w:val="clear" w:color="auto" w:fill="auto"/>
            <w:vAlign w:val="bottom"/>
          </w:tcPr>
          <w:p>
            <w:pPr>
              <w:rPr>
                <w:rFonts w:hint="default" w:ascii="Arial" w:hAnsi="Arial" w:cs="Arial"/>
                <w:i w:val="0"/>
                <w:color w:val="000000"/>
                <w:sz w:val="20"/>
                <w:szCs w:val="20"/>
                <w:u w:val="none"/>
              </w:rPr>
            </w:pPr>
          </w:p>
        </w:tc>
        <w:tc>
          <w:tcPr>
            <w:tcW w:w="3162" w:type="dxa"/>
            <w:shd w:val="clear" w:color="auto" w:fill="auto"/>
            <w:vAlign w:val="bottom"/>
          </w:tcPr>
          <w:p>
            <w:pPr>
              <w:rPr>
                <w:rFonts w:hint="default" w:ascii="Arial" w:hAnsi="Arial" w:cs="Arial"/>
                <w:i w:val="0"/>
                <w:color w:val="000000"/>
                <w:sz w:val="20"/>
                <w:szCs w:val="20"/>
                <w:u w:val="none"/>
              </w:rPr>
            </w:pPr>
          </w:p>
        </w:tc>
        <w:tc>
          <w:tcPr>
            <w:tcW w:w="1720" w:type="dxa"/>
            <w:shd w:val="clear" w:color="auto" w:fill="auto"/>
            <w:vAlign w:val="bottom"/>
          </w:tcPr>
          <w:p>
            <w:pPr>
              <w:rPr>
                <w:rFonts w:hint="default" w:ascii="Arial" w:hAnsi="Arial" w:cs="Arial"/>
                <w:i w:val="0"/>
                <w:color w:val="000000"/>
                <w:sz w:val="20"/>
                <w:szCs w:val="20"/>
                <w:u w:val="none"/>
              </w:rPr>
            </w:pPr>
          </w:p>
        </w:tc>
        <w:tc>
          <w:tcPr>
            <w:tcW w:w="1002" w:type="dxa"/>
            <w:shd w:val="clear" w:color="auto" w:fill="auto"/>
            <w:vAlign w:val="bottom"/>
          </w:tcPr>
          <w:p>
            <w:pPr>
              <w:rPr>
                <w:rFonts w:hint="default" w:ascii="Arial" w:hAnsi="Arial" w:cs="Arial"/>
                <w:i w:val="0"/>
                <w:color w:val="000000"/>
                <w:sz w:val="20"/>
                <w:szCs w:val="20"/>
                <w:u w:val="none"/>
              </w:rPr>
            </w:pPr>
          </w:p>
        </w:tc>
        <w:tc>
          <w:tcPr>
            <w:tcW w:w="793" w:type="dxa"/>
            <w:shd w:val="clear" w:color="auto" w:fill="auto"/>
            <w:vAlign w:val="bottom"/>
          </w:tcPr>
          <w:p>
            <w:pPr>
              <w:rPr>
                <w:rFonts w:hint="default" w:ascii="Arial" w:hAnsi="Arial" w:cs="Arial"/>
                <w:i w:val="0"/>
                <w:color w:val="000000"/>
                <w:sz w:val="20"/>
                <w:szCs w:val="20"/>
                <w:u w:val="none"/>
              </w:rPr>
            </w:pPr>
          </w:p>
        </w:tc>
        <w:tc>
          <w:tcPr>
            <w:tcW w:w="1047" w:type="dxa"/>
            <w:shd w:val="clear" w:color="auto" w:fill="auto"/>
            <w:vAlign w:val="bottom"/>
          </w:tcPr>
          <w:p>
            <w:pPr>
              <w:rPr>
                <w:rFonts w:hint="default" w:ascii="Arial" w:hAnsi="Arial" w:cs="Arial"/>
                <w:i w:val="0"/>
                <w:color w:val="000000"/>
                <w:sz w:val="20"/>
                <w:szCs w:val="20"/>
                <w:u w:val="none"/>
              </w:rPr>
            </w:pPr>
          </w:p>
        </w:tc>
        <w:tc>
          <w:tcPr>
            <w:tcW w:w="1196" w:type="dxa"/>
            <w:shd w:val="clear" w:color="auto" w:fill="auto"/>
            <w:vAlign w:val="bottom"/>
          </w:tcPr>
          <w:p>
            <w:pPr>
              <w:rPr>
                <w:rFonts w:hint="default" w:ascii="Arial" w:hAnsi="Arial" w:cs="Arial"/>
                <w:i w:val="0"/>
                <w:color w:val="000000"/>
                <w:sz w:val="20"/>
                <w:szCs w:val="20"/>
                <w:u w:val="none"/>
              </w:rPr>
            </w:pPr>
          </w:p>
        </w:tc>
        <w:tc>
          <w:tcPr>
            <w:tcW w:w="2273" w:type="dxa"/>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1321" w:type="dxa"/>
            <w:shd w:val="clear" w:color="auto" w:fill="auto"/>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部门：河南省周口市淮阳县水务局</w:t>
            </w:r>
          </w:p>
        </w:tc>
        <w:tc>
          <w:tcPr>
            <w:tcW w:w="58" w:type="dxa"/>
            <w:shd w:val="clear" w:color="auto" w:fill="auto"/>
            <w:vAlign w:val="bottom"/>
          </w:tcPr>
          <w:p>
            <w:pPr>
              <w:rPr>
                <w:rFonts w:hint="default" w:ascii="Arial" w:hAnsi="Arial" w:cs="Arial"/>
                <w:i w:val="0"/>
                <w:color w:val="000000"/>
                <w:sz w:val="20"/>
                <w:szCs w:val="20"/>
                <w:u w:val="none"/>
              </w:rPr>
            </w:pPr>
          </w:p>
        </w:tc>
        <w:tc>
          <w:tcPr>
            <w:tcW w:w="58" w:type="dxa"/>
            <w:shd w:val="clear" w:color="auto" w:fill="auto"/>
            <w:vAlign w:val="bottom"/>
          </w:tcPr>
          <w:p>
            <w:pPr>
              <w:rPr>
                <w:rFonts w:hint="default" w:ascii="Arial" w:hAnsi="Arial" w:cs="Arial"/>
                <w:i w:val="0"/>
                <w:color w:val="000000"/>
                <w:sz w:val="20"/>
                <w:szCs w:val="20"/>
                <w:u w:val="none"/>
              </w:rPr>
            </w:pPr>
          </w:p>
        </w:tc>
        <w:tc>
          <w:tcPr>
            <w:tcW w:w="3162" w:type="dxa"/>
            <w:shd w:val="clear" w:color="auto" w:fill="auto"/>
            <w:vAlign w:val="bottom"/>
          </w:tcPr>
          <w:p>
            <w:pPr>
              <w:rPr>
                <w:rFonts w:hint="default" w:ascii="Arial" w:hAnsi="Arial" w:cs="Arial"/>
                <w:i w:val="0"/>
                <w:color w:val="000000"/>
                <w:sz w:val="20"/>
                <w:szCs w:val="20"/>
                <w:u w:val="none"/>
              </w:rPr>
            </w:pPr>
          </w:p>
        </w:tc>
        <w:tc>
          <w:tcPr>
            <w:tcW w:w="1720" w:type="dxa"/>
            <w:shd w:val="clear" w:color="auto" w:fill="auto"/>
            <w:vAlign w:val="bottom"/>
          </w:tcPr>
          <w:p>
            <w:pPr>
              <w:rPr>
                <w:rFonts w:hint="default" w:ascii="Arial" w:hAnsi="Arial" w:cs="Arial"/>
                <w:i w:val="0"/>
                <w:color w:val="000000"/>
                <w:sz w:val="20"/>
                <w:szCs w:val="20"/>
                <w:u w:val="none"/>
              </w:rPr>
            </w:pPr>
          </w:p>
        </w:tc>
        <w:tc>
          <w:tcPr>
            <w:tcW w:w="1002" w:type="dxa"/>
            <w:shd w:val="clear" w:color="auto" w:fill="auto"/>
            <w:vAlign w:val="bottom"/>
          </w:tcPr>
          <w:p>
            <w:pPr>
              <w:rPr>
                <w:rFonts w:hint="default" w:ascii="Arial" w:hAnsi="Arial" w:cs="Arial"/>
                <w:i w:val="0"/>
                <w:color w:val="000000"/>
                <w:sz w:val="20"/>
                <w:szCs w:val="20"/>
                <w:u w:val="none"/>
              </w:rPr>
            </w:pPr>
          </w:p>
        </w:tc>
        <w:tc>
          <w:tcPr>
            <w:tcW w:w="793" w:type="dxa"/>
            <w:shd w:val="clear" w:color="auto" w:fill="auto"/>
            <w:vAlign w:val="bottom"/>
          </w:tcPr>
          <w:p>
            <w:pPr>
              <w:rPr>
                <w:rFonts w:hint="default" w:ascii="Arial" w:hAnsi="Arial" w:cs="Arial"/>
                <w:i w:val="0"/>
                <w:color w:val="000000"/>
                <w:sz w:val="20"/>
                <w:szCs w:val="20"/>
                <w:u w:val="none"/>
              </w:rPr>
            </w:pPr>
          </w:p>
        </w:tc>
        <w:tc>
          <w:tcPr>
            <w:tcW w:w="1047" w:type="dxa"/>
            <w:shd w:val="clear" w:color="auto" w:fill="auto"/>
            <w:vAlign w:val="bottom"/>
          </w:tcPr>
          <w:p>
            <w:pPr>
              <w:rPr>
                <w:rFonts w:hint="default" w:ascii="Arial" w:hAnsi="Arial" w:cs="Arial"/>
                <w:i w:val="0"/>
                <w:color w:val="000000"/>
                <w:sz w:val="20"/>
                <w:szCs w:val="20"/>
                <w:u w:val="none"/>
              </w:rPr>
            </w:pPr>
          </w:p>
        </w:tc>
        <w:tc>
          <w:tcPr>
            <w:tcW w:w="1196" w:type="dxa"/>
            <w:shd w:val="clear" w:color="auto" w:fill="auto"/>
            <w:vAlign w:val="bottom"/>
          </w:tcPr>
          <w:p>
            <w:pPr>
              <w:rPr>
                <w:rFonts w:hint="default" w:ascii="Arial" w:hAnsi="Arial" w:cs="Arial"/>
                <w:i w:val="0"/>
                <w:color w:val="000000"/>
                <w:sz w:val="20"/>
                <w:szCs w:val="20"/>
                <w:u w:val="none"/>
              </w:rPr>
            </w:pPr>
          </w:p>
        </w:tc>
        <w:tc>
          <w:tcPr>
            <w:tcW w:w="2273" w:type="dxa"/>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599" w:type="dxa"/>
            <w:gridSpan w:val="4"/>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720"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年初结转和结余</w:t>
            </w:r>
          </w:p>
        </w:tc>
        <w:tc>
          <w:tcPr>
            <w:tcW w:w="1002"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w:t>
            </w:r>
          </w:p>
        </w:tc>
        <w:tc>
          <w:tcPr>
            <w:tcW w:w="3036" w:type="dxa"/>
            <w:gridSpan w:val="3"/>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c>
          <w:tcPr>
            <w:tcW w:w="2273"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437" w:type="dxa"/>
            <w:gridSpan w:val="3"/>
            <w:vMerge w:val="restart"/>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162"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720"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02"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793"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047"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196"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2273"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437" w:type="dxa"/>
            <w:gridSpan w:val="3"/>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3162"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720"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02"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793"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47"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196"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2273"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437" w:type="dxa"/>
            <w:gridSpan w:val="3"/>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3162"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720"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02"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793"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47"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196"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2273"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599" w:type="dxa"/>
            <w:gridSpan w:val="4"/>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720"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002"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793"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04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196"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2273"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599" w:type="dxa"/>
            <w:gridSpan w:val="4"/>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7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10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4.68</w:t>
            </w:r>
          </w:p>
        </w:tc>
        <w:tc>
          <w:tcPr>
            <w:tcW w:w="79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4.68</w:t>
            </w:r>
          </w:p>
        </w:tc>
        <w:tc>
          <w:tcPr>
            <w:tcW w:w="104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4.68</w:t>
            </w:r>
          </w:p>
        </w:tc>
        <w:tc>
          <w:tcPr>
            <w:tcW w:w="11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227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3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3162"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7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4.68</w:t>
            </w:r>
          </w:p>
        </w:tc>
        <w:tc>
          <w:tcPr>
            <w:tcW w:w="79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4.68</w:t>
            </w:r>
          </w:p>
        </w:tc>
        <w:tc>
          <w:tcPr>
            <w:tcW w:w="104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4.68</w:t>
            </w:r>
          </w:p>
        </w:tc>
        <w:tc>
          <w:tcPr>
            <w:tcW w:w="11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27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3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20822</w:t>
            </w:r>
          </w:p>
        </w:tc>
        <w:tc>
          <w:tcPr>
            <w:tcW w:w="3162"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大中型水库移民后期扶持基金支出</w:t>
            </w:r>
          </w:p>
        </w:tc>
        <w:tc>
          <w:tcPr>
            <w:tcW w:w="17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4.68</w:t>
            </w:r>
          </w:p>
        </w:tc>
        <w:tc>
          <w:tcPr>
            <w:tcW w:w="79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4.68</w:t>
            </w:r>
          </w:p>
        </w:tc>
        <w:tc>
          <w:tcPr>
            <w:tcW w:w="104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4.68</w:t>
            </w:r>
          </w:p>
        </w:tc>
        <w:tc>
          <w:tcPr>
            <w:tcW w:w="11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27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37"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2082201</w:t>
            </w:r>
          </w:p>
        </w:tc>
        <w:tc>
          <w:tcPr>
            <w:tcW w:w="3162"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移民补助</w:t>
            </w:r>
          </w:p>
        </w:tc>
        <w:tc>
          <w:tcPr>
            <w:tcW w:w="172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0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4.68</w:t>
            </w:r>
          </w:p>
        </w:tc>
        <w:tc>
          <w:tcPr>
            <w:tcW w:w="79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4.68</w:t>
            </w:r>
          </w:p>
        </w:tc>
        <w:tc>
          <w:tcPr>
            <w:tcW w:w="104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4.68</w:t>
            </w:r>
          </w:p>
        </w:tc>
        <w:tc>
          <w:tcPr>
            <w:tcW w:w="119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27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37" w:type="dxa"/>
            <w:gridSpan w:val="3"/>
            <w:tcBorders>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3162" w:type="dxa"/>
            <w:tcBorders>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1720"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002"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793"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047"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19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2273"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301" w:hRule="atLeast"/>
        </w:trPr>
        <w:tc>
          <w:tcPr>
            <w:tcW w:w="1437" w:type="dxa"/>
            <w:gridSpan w:val="3"/>
            <w:tcBorders>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3162" w:type="dxa"/>
            <w:tcBorders>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1720"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002"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793"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047"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19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2273"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37" w:type="dxa"/>
            <w:gridSpan w:val="3"/>
            <w:tcBorders>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3162" w:type="dxa"/>
            <w:tcBorders>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1720"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002"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793"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047"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19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2273"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37" w:type="dxa"/>
            <w:gridSpan w:val="3"/>
            <w:tcBorders>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3162" w:type="dxa"/>
            <w:tcBorders>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1720"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002"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793"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047"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19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2273"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437" w:type="dxa"/>
            <w:gridSpan w:val="3"/>
            <w:tcBorders>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3162" w:type="dxa"/>
            <w:tcBorders>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1720"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002"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793"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047"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19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2273"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2630" w:type="dxa"/>
            <w:gridSpan w:val="10"/>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注：本表反映部门本年度政府性基金预算财政拨款收入、支出及结转和结余情况。</w:t>
            </w:r>
          </w:p>
        </w:tc>
      </w:tr>
    </w:tbl>
    <w:p>
      <w:pPr>
        <w:pStyle w:val="2"/>
        <w:spacing w:before="2" w:line="365" w:lineRule="auto"/>
        <w:ind w:right="272"/>
        <w:jc w:val="both"/>
        <w:rPr>
          <w:lang w:val="en-US"/>
        </w:rPr>
      </w:pPr>
    </w:p>
    <w:p>
      <w:pPr>
        <w:pStyle w:val="2"/>
        <w:spacing w:before="2" w:line="365" w:lineRule="auto"/>
        <w:ind w:right="272"/>
        <w:jc w:val="both"/>
        <w:rPr>
          <w:lang w:val="en-US"/>
        </w:rPr>
        <w:sectPr>
          <w:pgSz w:w="16840" w:h="11910" w:orient="landscape"/>
          <w:pgMar w:top="1361" w:right="1474" w:bottom="1361" w:left="1474" w:header="0" w:footer="998" w:gutter="0"/>
          <w:cols w:space="720" w:num="1"/>
          <w:docGrid w:linePitch="299" w:charSpace="0"/>
        </w:sectPr>
      </w:pPr>
    </w:p>
    <w:p>
      <w:pPr>
        <w:tabs>
          <w:tab w:val="left" w:pos="3993"/>
        </w:tabs>
        <w:spacing w:before="32"/>
        <w:jc w:val="center"/>
        <w:rPr>
          <w:rFonts w:ascii="黑体" w:eastAsia="黑体"/>
          <w:sz w:val="48"/>
        </w:rPr>
      </w:pPr>
    </w:p>
    <w:p>
      <w:pPr>
        <w:tabs>
          <w:tab w:val="left" w:pos="3993"/>
        </w:tabs>
        <w:spacing w:before="32"/>
        <w:jc w:val="center"/>
        <w:rPr>
          <w:rFonts w:ascii="黑体" w:eastAsia="黑体"/>
          <w:sz w:val="48"/>
        </w:rPr>
      </w:pPr>
    </w:p>
    <w:p>
      <w:pPr>
        <w:tabs>
          <w:tab w:val="left" w:pos="3993"/>
        </w:tabs>
        <w:spacing w:before="32"/>
        <w:jc w:val="center"/>
        <w:rPr>
          <w:rFonts w:ascii="黑体" w:eastAsia="黑体"/>
          <w:sz w:val="48"/>
        </w:rPr>
      </w:pPr>
    </w:p>
    <w:p>
      <w:pPr>
        <w:tabs>
          <w:tab w:val="left" w:pos="3993"/>
        </w:tabs>
        <w:spacing w:before="32"/>
        <w:jc w:val="center"/>
        <w:rPr>
          <w:rFonts w:ascii="黑体" w:eastAsia="黑体"/>
          <w:sz w:val="48"/>
        </w:rPr>
      </w:pPr>
    </w:p>
    <w:p>
      <w:pPr>
        <w:tabs>
          <w:tab w:val="left" w:pos="3993"/>
        </w:tabs>
        <w:spacing w:before="32"/>
        <w:jc w:val="center"/>
        <w:rPr>
          <w:rFonts w:ascii="黑体" w:eastAsia="黑体"/>
          <w:sz w:val="48"/>
        </w:rPr>
      </w:pPr>
    </w:p>
    <w:p>
      <w:pPr>
        <w:tabs>
          <w:tab w:val="left" w:pos="3993"/>
        </w:tabs>
        <w:spacing w:before="32"/>
        <w:jc w:val="center"/>
        <w:rPr>
          <w:rFonts w:ascii="黑体" w:eastAsia="黑体"/>
          <w:sz w:val="48"/>
        </w:rPr>
      </w:pPr>
      <w:r>
        <w:rPr>
          <w:rFonts w:hint="eastAsia" w:ascii="黑体" w:eastAsia="黑体"/>
          <w:sz w:val="48"/>
        </w:rPr>
        <w:t>第三部分</w:t>
      </w:r>
    </w:p>
    <w:p>
      <w:pPr>
        <w:tabs>
          <w:tab w:val="left" w:pos="3993"/>
        </w:tabs>
        <w:spacing w:before="32"/>
        <w:jc w:val="center"/>
        <w:rPr>
          <w:rFonts w:ascii="黑体" w:eastAsia="黑体"/>
          <w:sz w:val="48"/>
        </w:rPr>
      </w:pPr>
      <w:r>
        <w:rPr>
          <w:rFonts w:ascii="黑体" w:eastAsia="黑体"/>
          <w:sz w:val="48"/>
        </w:rPr>
        <w:t xml:space="preserve">2017 </w:t>
      </w:r>
      <w:r>
        <w:rPr>
          <w:rFonts w:hint="eastAsia" w:ascii="黑体" w:eastAsia="黑体"/>
          <w:sz w:val="48"/>
        </w:rPr>
        <w:t>年度部门决算情况说明</w:t>
      </w: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14" w:line="364" w:lineRule="auto"/>
        <w:ind w:left="317" w:right="112" w:firstLine="639"/>
        <w:rPr>
          <w:spacing w:val="-6"/>
        </w:rPr>
      </w:pPr>
    </w:p>
    <w:p>
      <w:pPr>
        <w:pStyle w:val="2"/>
        <w:spacing w:before="214" w:line="520" w:lineRule="exact"/>
        <w:ind w:right="112" w:firstLine="693" w:firstLineChars="225"/>
        <w:rPr>
          <w:rFonts w:ascii="黑体" w:hAnsi="黑体" w:eastAsia="黑体"/>
          <w:spacing w:val="-6"/>
        </w:rPr>
      </w:pPr>
      <w:r>
        <w:rPr>
          <w:rFonts w:hint="eastAsia" w:ascii="黑体" w:hAnsi="黑体" w:eastAsia="黑体"/>
          <w:spacing w:val="-6"/>
        </w:rPr>
        <w:t>一、收入支出决算总体情况说明</w:t>
      </w:r>
      <w:r>
        <w:rPr>
          <w:rFonts w:ascii="黑体" w:hAnsi="黑体" w:eastAsia="黑体"/>
          <w:spacing w:val="-6"/>
        </w:rPr>
        <w:t xml:space="preserve"> </w:t>
      </w:r>
    </w:p>
    <w:p>
      <w:pPr>
        <w:widowControl/>
        <w:spacing w:line="590" w:lineRule="exact"/>
        <w:ind w:firstLine="616" w:firstLineChars="200"/>
        <w:rPr>
          <w:rFonts w:ascii="黑体" w:hAnsi="黑体" w:eastAsia="黑体" w:cs="黑体"/>
          <w:sz w:val="32"/>
          <w:szCs w:val="32"/>
        </w:rPr>
      </w:pPr>
      <w:r>
        <w:rPr>
          <w:spacing w:val="-6"/>
          <w:sz w:val="32"/>
          <w:szCs w:val="32"/>
        </w:rPr>
        <w:t xml:space="preserve">2017 </w:t>
      </w:r>
      <w:r>
        <w:rPr>
          <w:rFonts w:hint="eastAsia"/>
          <w:spacing w:val="-6"/>
          <w:sz w:val="32"/>
          <w:szCs w:val="32"/>
        </w:rPr>
        <w:t>年度收、支总计均为</w:t>
      </w:r>
      <w:r>
        <w:rPr>
          <w:spacing w:val="-6"/>
          <w:sz w:val="32"/>
          <w:szCs w:val="32"/>
        </w:rPr>
        <w:t>4289.74</w:t>
      </w:r>
      <w:r>
        <w:rPr>
          <w:rFonts w:hint="eastAsia"/>
          <w:spacing w:val="-6"/>
          <w:sz w:val="32"/>
          <w:szCs w:val="32"/>
        </w:rPr>
        <w:t>万元。与</w:t>
      </w:r>
      <w:r>
        <w:rPr>
          <w:spacing w:val="-6"/>
          <w:sz w:val="32"/>
          <w:szCs w:val="32"/>
        </w:rPr>
        <w:t xml:space="preserve"> 2016 </w:t>
      </w:r>
      <w:r>
        <w:rPr>
          <w:rFonts w:hint="eastAsia"/>
          <w:spacing w:val="-6"/>
          <w:sz w:val="32"/>
          <w:szCs w:val="32"/>
        </w:rPr>
        <w:t>年相比，收、支总计各增加</w:t>
      </w:r>
      <w:r>
        <w:rPr>
          <w:sz w:val="32"/>
          <w:szCs w:val="32"/>
        </w:rPr>
        <w:t>775.09</w:t>
      </w:r>
      <w:r>
        <w:rPr>
          <w:rFonts w:hint="eastAsia"/>
          <w:spacing w:val="-6"/>
          <w:sz w:val="32"/>
          <w:szCs w:val="32"/>
        </w:rPr>
        <w:t>万元，增长</w:t>
      </w:r>
      <w:r>
        <w:rPr>
          <w:sz w:val="32"/>
          <w:szCs w:val="32"/>
        </w:rPr>
        <w:t>18</w:t>
      </w:r>
      <w:r>
        <w:rPr>
          <w:spacing w:val="-6"/>
          <w:sz w:val="32"/>
          <w:szCs w:val="32"/>
        </w:rPr>
        <w:t>%</w:t>
      </w:r>
      <w:r>
        <w:rPr>
          <w:rFonts w:hint="eastAsia"/>
          <w:spacing w:val="-6"/>
          <w:sz w:val="32"/>
          <w:szCs w:val="32"/>
        </w:rPr>
        <w:t>。</w:t>
      </w:r>
      <w:r>
        <w:rPr>
          <w:rFonts w:hint="eastAsia"/>
          <w:sz w:val="32"/>
          <w:szCs w:val="32"/>
        </w:rPr>
        <w:t>主要原因是扶贫安全饮水项目增加</w:t>
      </w:r>
      <w:r>
        <w:rPr>
          <w:sz w:val="32"/>
          <w:szCs w:val="32"/>
        </w:rPr>
        <w:t>1761.31</w:t>
      </w:r>
      <w:r>
        <w:rPr>
          <w:rFonts w:hint="eastAsia"/>
          <w:sz w:val="32"/>
          <w:szCs w:val="32"/>
        </w:rPr>
        <w:t>万元，农田水利项目减少</w:t>
      </w:r>
      <w:r>
        <w:rPr>
          <w:sz w:val="32"/>
          <w:szCs w:val="32"/>
        </w:rPr>
        <w:t>824.38</w:t>
      </w:r>
      <w:r>
        <w:rPr>
          <w:rFonts w:hint="eastAsia"/>
          <w:sz w:val="32"/>
          <w:szCs w:val="32"/>
        </w:rPr>
        <w:t>万元，水利工程建设项目减少</w:t>
      </w:r>
      <w:r>
        <w:rPr>
          <w:sz w:val="32"/>
          <w:szCs w:val="32"/>
        </w:rPr>
        <w:t>161.84</w:t>
      </w:r>
      <w:r>
        <w:rPr>
          <w:rFonts w:hint="eastAsia"/>
          <w:sz w:val="32"/>
          <w:szCs w:val="32"/>
        </w:rPr>
        <w:t>万元。</w:t>
      </w:r>
    </w:p>
    <w:p>
      <w:pPr>
        <w:pStyle w:val="2"/>
        <w:spacing w:before="214" w:line="520" w:lineRule="exact"/>
        <w:ind w:right="113" w:firstLine="640" w:firstLineChars="200"/>
        <w:jc w:val="both"/>
        <w:rPr>
          <w:rFonts w:ascii="黑体" w:hAnsi="黑体" w:eastAsia="黑体"/>
          <w:lang w:val="en-US"/>
        </w:rPr>
      </w:pPr>
      <w:r>
        <w:rPr>
          <w:rFonts w:hint="eastAsia" w:ascii="黑体" w:hAnsi="黑体" w:eastAsia="黑体"/>
          <w:lang w:val="en-US"/>
        </w:rPr>
        <w:t>二、收入决算情况说明</w:t>
      </w:r>
      <w:r>
        <w:rPr>
          <w:rFonts w:ascii="黑体" w:hAnsi="黑体" w:eastAsia="黑体"/>
          <w:lang w:val="en-US"/>
        </w:rPr>
        <w:t xml:space="preserve"> </w:t>
      </w:r>
    </w:p>
    <w:p>
      <w:pPr>
        <w:widowControl/>
        <w:spacing w:line="590" w:lineRule="exact"/>
        <w:ind w:firstLine="640" w:firstLineChars="200"/>
        <w:rPr>
          <w:rFonts w:ascii="黑体" w:hAnsi="黑体" w:eastAsia="黑体" w:cs="黑体"/>
          <w:sz w:val="32"/>
          <w:szCs w:val="32"/>
        </w:rPr>
      </w:pPr>
      <w:r>
        <w:rPr>
          <w:sz w:val="32"/>
          <w:szCs w:val="32"/>
        </w:rPr>
        <w:t xml:space="preserve">2017 </w:t>
      </w:r>
      <w:r>
        <w:rPr>
          <w:rFonts w:hint="eastAsia"/>
          <w:sz w:val="32"/>
          <w:szCs w:val="32"/>
        </w:rPr>
        <w:t>年度收入合计</w:t>
      </w:r>
      <w:r>
        <w:rPr>
          <w:sz w:val="32"/>
          <w:szCs w:val="32"/>
        </w:rPr>
        <w:t>4289.74</w:t>
      </w:r>
      <w:r>
        <w:rPr>
          <w:rFonts w:hint="eastAsia"/>
          <w:sz w:val="32"/>
          <w:szCs w:val="32"/>
        </w:rPr>
        <w:t>万元，其中：财政拨款收入</w:t>
      </w:r>
      <w:r>
        <w:rPr>
          <w:sz w:val="32"/>
          <w:szCs w:val="32"/>
        </w:rPr>
        <w:t>4289.74</w:t>
      </w:r>
      <w:r>
        <w:rPr>
          <w:rFonts w:hint="eastAsia"/>
          <w:sz w:val="32"/>
          <w:szCs w:val="32"/>
        </w:rPr>
        <w:t>万元，占</w:t>
      </w:r>
      <w:r>
        <w:rPr>
          <w:sz w:val="32"/>
          <w:szCs w:val="32"/>
        </w:rPr>
        <w:t>100%</w:t>
      </w:r>
      <w:r>
        <w:rPr>
          <w:rFonts w:hint="eastAsia"/>
          <w:sz w:val="32"/>
          <w:szCs w:val="32"/>
        </w:rPr>
        <w:t>。事业收入</w:t>
      </w:r>
      <w:r>
        <w:rPr>
          <w:sz w:val="32"/>
          <w:szCs w:val="32"/>
        </w:rPr>
        <w:t>0</w:t>
      </w:r>
      <w:r>
        <w:rPr>
          <w:rFonts w:hint="eastAsia"/>
          <w:sz w:val="32"/>
          <w:szCs w:val="32"/>
        </w:rPr>
        <w:t>万元，占</w:t>
      </w:r>
      <w:r>
        <w:rPr>
          <w:sz w:val="32"/>
          <w:szCs w:val="32"/>
        </w:rPr>
        <w:t>0%</w:t>
      </w:r>
      <w:r>
        <w:rPr>
          <w:rFonts w:hint="eastAsia"/>
          <w:sz w:val="32"/>
          <w:szCs w:val="32"/>
        </w:rPr>
        <w:t>；其他收入</w:t>
      </w:r>
      <w:r>
        <w:rPr>
          <w:sz w:val="32"/>
          <w:szCs w:val="32"/>
        </w:rPr>
        <w:t xml:space="preserve">0 </w:t>
      </w:r>
      <w:r>
        <w:rPr>
          <w:rFonts w:hint="eastAsia"/>
          <w:sz w:val="32"/>
          <w:szCs w:val="32"/>
        </w:rPr>
        <w:t>万元，占</w:t>
      </w:r>
      <w:r>
        <w:rPr>
          <w:sz w:val="32"/>
          <w:szCs w:val="32"/>
        </w:rPr>
        <w:t xml:space="preserve"> 0%</w:t>
      </w:r>
      <w:r>
        <w:rPr>
          <w:rFonts w:hint="eastAsia"/>
          <w:sz w:val="32"/>
          <w:szCs w:val="32"/>
        </w:rPr>
        <w:t>。</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三、支出决算情况说明</w:t>
      </w:r>
      <w:r>
        <w:rPr>
          <w:rFonts w:ascii="黑体" w:hAnsi="黑体" w:eastAsia="黑体"/>
          <w:lang w:val="en-US"/>
        </w:rPr>
        <w:t xml:space="preserve"> </w:t>
      </w:r>
    </w:p>
    <w:p>
      <w:pPr>
        <w:pStyle w:val="2"/>
        <w:spacing w:before="2" w:line="520" w:lineRule="exact"/>
        <w:ind w:right="270" w:firstLine="693" w:firstLineChars="225"/>
        <w:jc w:val="both"/>
        <w:rPr>
          <w:spacing w:val="-6"/>
        </w:rPr>
      </w:pPr>
      <w:r>
        <w:rPr>
          <w:spacing w:val="-6"/>
        </w:rPr>
        <w:t xml:space="preserve">2017 </w:t>
      </w:r>
      <w:r>
        <w:rPr>
          <w:rFonts w:hint="eastAsia"/>
          <w:spacing w:val="-6"/>
        </w:rPr>
        <w:t>年度支出合计</w:t>
      </w:r>
      <w:r>
        <w:t>4289.74</w:t>
      </w:r>
      <w:r>
        <w:rPr>
          <w:spacing w:val="-6"/>
        </w:rPr>
        <w:t xml:space="preserve"> </w:t>
      </w:r>
      <w:r>
        <w:rPr>
          <w:rFonts w:hint="eastAsia"/>
          <w:spacing w:val="-6"/>
        </w:rPr>
        <w:t>万元，其中：基本支出</w:t>
      </w:r>
      <w:r>
        <w:t>1550.35</w:t>
      </w:r>
      <w:r>
        <w:rPr>
          <w:spacing w:val="-6"/>
        </w:rPr>
        <w:t xml:space="preserve"> </w:t>
      </w:r>
      <w:r>
        <w:rPr>
          <w:rFonts w:hint="eastAsia"/>
          <w:spacing w:val="-6"/>
        </w:rPr>
        <w:t>万元，占</w:t>
      </w:r>
      <w:r>
        <w:rPr>
          <w:spacing w:val="-6"/>
        </w:rPr>
        <w:t>36%</w:t>
      </w:r>
      <w:r>
        <w:rPr>
          <w:rFonts w:hint="eastAsia"/>
          <w:spacing w:val="-6"/>
        </w:rPr>
        <w:t>；项目支出</w:t>
      </w:r>
      <w:r>
        <w:t>2739.39</w:t>
      </w:r>
      <w:r>
        <w:rPr>
          <w:spacing w:val="-6"/>
        </w:rPr>
        <w:t xml:space="preserve"> </w:t>
      </w:r>
      <w:r>
        <w:rPr>
          <w:rFonts w:hint="eastAsia"/>
          <w:spacing w:val="-6"/>
        </w:rPr>
        <w:t>万元，占</w:t>
      </w:r>
      <w:r>
        <w:rPr>
          <w:spacing w:val="-6"/>
        </w:rPr>
        <w:t>64%</w:t>
      </w:r>
      <w:r>
        <w:rPr>
          <w:rFonts w:hint="eastAsia"/>
          <w:spacing w:val="-6"/>
        </w:rPr>
        <w:t>。</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四、财政拨款收入支出决算总体情况说明</w:t>
      </w:r>
      <w:r>
        <w:rPr>
          <w:rFonts w:ascii="黑体" w:hAnsi="黑体" w:eastAsia="黑体"/>
          <w:lang w:val="en-US"/>
        </w:rPr>
        <w:t xml:space="preserve"> </w:t>
      </w:r>
    </w:p>
    <w:p>
      <w:pPr>
        <w:pStyle w:val="2"/>
        <w:spacing w:before="2" w:line="520" w:lineRule="exact"/>
        <w:ind w:right="270" w:firstLine="693" w:firstLineChars="225"/>
        <w:jc w:val="both"/>
        <w:rPr>
          <w:spacing w:val="-6"/>
        </w:rPr>
      </w:pPr>
      <w:r>
        <w:rPr>
          <w:spacing w:val="-6"/>
        </w:rPr>
        <w:t xml:space="preserve">2017 </w:t>
      </w:r>
      <w:r>
        <w:rPr>
          <w:rFonts w:hint="eastAsia"/>
          <w:spacing w:val="-6"/>
        </w:rPr>
        <w:t>年财政拨款收入为</w:t>
      </w:r>
      <w:r>
        <w:t>4289.74</w:t>
      </w:r>
      <w:r>
        <w:rPr>
          <w:rFonts w:hint="eastAsia"/>
          <w:spacing w:val="-6"/>
        </w:rPr>
        <w:t>万元。与</w:t>
      </w:r>
      <w:r>
        <w:rPr>
          <w:spacing w:val="-6"/>
        </w:rPr>
        <w:t xml:space="preserve"> 2016</w:t>
      </w:r>
      <w:r>
        <w:rPr>
          <w:rFonts w:hint="eastAsia"/>
          <w:spacing w:val="-6"/>
        </w:rPr>
        <w:t>年相比，财政拨款收入增加</w:t>
      </w:r>
      <w:r>
        <w:t>775.09</w:t>
      </w:r>
      <w:r>
        <w:rPr>
          <w:rFonts w:hint="eastAsia"/>
          <w:spacing w:val="-6"/>
        </w:rPr>
        <w:t>万元，增长</w:t>
      </w:r>
      <w:r>
        <w:rPr>
          <w:spacing w:val="-6"/>
        </w:rPr>
        <w:t>18%</w:t>
      </w:r>
      <w:r>
        <w:rPr>
          <w:rFonts w:hint="eastAsia"/>
          <w:spacing w:val="-6"/>
        </w:rPr>
        <w:t>。</w:t>
      </w:r>
      <w:r>
        <w:rPr>
          <w:spacing w:val="-6"/>
        </w:rPr>
        <w:t xml:space="preserve">2017 </w:t>
      </w:r>
      <w:r>
        <w:rPr>
          <w:rFonts w:hint="eastAsia"/>
          <w:spacing w:val="-6"/>
        </w:rPr>
        <w:t>年财政拨款支出为</w:t>
      </w:r>
      <w:r>
        <w:t>4289.74</w:t>
      </w:r>
      <w:r>
        <w:rPr>
          <w:rFonts w:hint="eastAsia"/>
          <w:spacing w:val="-6"/>
        </w:rPr>
        <w:t>万元。与</w:t>
      </w:r>
      <w:r>
        <w:rPr>
          <w:spacing w:val="-6"/>
        </w:rPr>
        <w:t xml:space="preserve"> 2016</w:t>
      </w:r>
      <w:r>
        <w:rPr>
          <w:rFonts w:hint="eastAsia"/>
          <w:spacing w:val="-6"/>
        </w:rPr>
        <w:t>年相比，财政拨款支出增加</w:t>
      </w:r>
      <w:r>
        <w:t>775.09</w:t>
      </w:r>
      <w:r>
        <w:rPr>
          <w:rFonts w:hint="eastAsia"/>
          <w:spacing w:val="-6"/>
        </w:rPr>
        <w:t>万元，增长</w:t>
      </w:r>
      <w:r>
        <w:rPr>
          <w:spacing w:val="-6"/>
        </w:rPr>
        <w:t>18%</w:t>
      </w:r>
      <w:r>
        <w:rPr>
          <w:rFonts w:hint="eastAsia"/>
          <w:spacing w:val="-6"/>
        </w:rPr>
        <w:t>。</w:t>
      </w:r>
      <w:r>
        <w:rPr>
          <w:rFonts w:hint="eastAsia"/>
        </w:rPr>
        <w:t>主要原因是扶贫安全饮水项目增加</w:t>
      </w:r>
      <w:r>
        <w:t>1761.31</w:t>
      </w:r>
      <w:r>
        <w:rPr>
          <w:rFonts w:hint="eastAsia"/>
        </w:rPr>
        <w:t>万元，农田水利项目减少</w:t>
      </w:r>
      <w:r>
        <w:t>824.38</w:t>
      </w:r>
      <w:r>
        <w:rPr>
          <w:rFonts w:hint="eastAsia"/>
        </w:rPr>
        <w:t>万元，水利工程建设项目减少</w:t>
      </w:r>
      <w:r>
        <w:t>161.84</w:t>
      </w:r>
      <w:r>
        <w:rPr>
          <w:rFonts w:hint="eastAsia"/>
        </w:rPr>
        <w:t>万元。</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五、一般公共预算财政拨款支出决算情况说明</w:t>
      </w:r>
      <w:r>
        <w:rPr>
          <w:rFonts w:ascii="黑体" w:hAnsi="黑体" w:eastAsia="黑体"/>
          <w:lang w:val="en-US"/>
        </w:rPr>
        <w:t xml:space="preserve"> </w:t>
      </w:r>
    </w:p>
    <w:p>
      <w:pPr>
        <w:pStyle w:val="2"/>
        <w:spacing w:before="2" w:line="520" w:lineRule="exact"/>
        <w:ind w:right="270" w:firstLine="696" w:firstLineChars="225"/>
        <w:jc w:val="both"/>
        <w:rPr>
          <w:b/>
          <w:spacing w:val="-6"/>
        </w:rPr>
      </w:pPr>
      <w:r>
        <w:rPr>
          <w:rFonts w:hint="eastAsia"/>
          <w:b/>
          <w:spacing w:val="-6"/>
        </w:rPr>
        <w:t>（一）总体情况</w:t>
      </w:r>
    </w:p>
    <w:p>
      <w:pPr>
        <w:widowControl/>
        <w:spacing w:line="590" w:lineRule="exact"/>
        <w:ind w:firstLine="616" w:firstLineChars="200"/>
        <w:rPr>
          <w:rFonts w:ascii="黑体" w:hAnsi="黑体" w:eastAsia="黑体" w:cs="黑体"/>
          <w:sz w:val="32"/>
          <w:szCs w:val="32"/>
        </w:rPr>
      </w:pPr>
      <w:r>
        <w:rPr>
          <w:spacing w:val="-6"/>
          <w:sz w:val="32"/>
          <w:szCs w:val="32"/>
        </w:rPr>
        <w:t>2017</w:t>
      </w:r>
      <w:r>
        <w:rPr>
          <w:rFonts w:hint="eastAsia"/>
          <w:spacing w:val="-6"/>
          <w:sz w:val="32"/>
          <w:szCs w:val="32"/>
        </w:rPr>
        <w:t>年一般公共预算财政拨款支出</w:t>
      </w:r>
      <w:r>
        <w:rPr>
          <w:sz w:val="32"/>
          <w:szCs w:val="32"/>
        </w:rPr>
        <w:t>4285.06</w:t>
      </w:r>
      <w:r>
        <w:rPr>
          <w:rFonts w:hint="eastAsia"/>
          <w:spacing w:val="-6"/>
          <w:sz w:val="32"/>
          <w:szCs w:val="32"/>
        </w:rPr>
        <w:t>万元，占支出合计的</w:t>
      </w:r>
      <w:r>
        <w:rPr>
          <w:spacing w:val="-6"/>
          <w:sz w:val="32"/>
          <w:szCs w:val="32"/>
        </w:rPr>
        <w:t>99.99</w:t>
      </w:r>
      <w:r>
        <w:rPr>
          <w:sz w:val="32"/>
          <w:szCs w:val="32"/>
        </w:rPr>
        <w:t>%</w:t>
      </w:r>
      <w:r>
        <w:rPr>
          <w:rFonts w:hint="eastAsia"/>
          <w:spacing w:val="-6"/>
          <w:sz w:val="32"/>
          <w:szCs w:val="32"/>
        </w:rPr>
        <w:t>。与</w:t>
      </w:r>
      <w:r>
        <w:rPr>
          <w:spacing w:val="-6"/>
          <w:sz w:val="32"/>
          <w:szCs w:val="32"/>
        </w:rPr>
        <w:t xml:space="preserve"> 2016 </w:t>
      </w:r>
      <w:r>
        <w:rPr>
          <w:rFonts w:hint="eastAsia"/>
          <w:spacing w:val="-6"/>
          <w:sz w:val="32"/>
          <w:szCs w:val="32"/>
        </w:rPr>
        <w:t>年相比，一般公共预算财政拨款支出增加</w:t>
      </w:r>
      <w:r>
        <w:rPr>
          <w:sz w:val="32"/>
          <w:szCs w:val="32"/>
        </w:rPr>
        <w:t>775.09</w:t>
      </w:r>
      <w:r>
        <w:rPr>
          <w:rFonts w:hint="eastAsia"/>
          <w:spacing w:val="-6"/>
          <w:sz w:val="32"/>
          <w:szCs w:val="32"/>
        </w:rPr>
        <w:t>万元，增长</w:t>
      </w:r>
      <w:r>
        <w:rPr>
          <w:spacing w:val="-6"/>
          <w:sz w:val="32"/>
          <w:szCs w:val="32"/>
        </w:rPr>
        <w:t>18%</w:t>
      </w:r>
      <w:r>
        <w:rPr>
          <w:rFonts w:hint="eastAsia"/>
          <w:spacing w:val="-6"/>
          <w:sz w:val="32"/>
          <w:szCs w:val="32"/>
        </w:rPr>
        <w:t>。</w:t>
      </w:r>
      <w:r>
        <w:rPr>
          <w:rFonts w:hint="eastAsia"/>
          <w:sz w:val="32"/>
          <w:szCs w:val="32"/>
        </w:rPr>
        <w:t>主要原因是扶贫安全饮水项目增加</w:t>
      </w:r>
      <w:r>
        <w:rPr>
          <w:sz w:val="32"/>
          <w:szCs w:val="32"/>
        </w:rPr>
        <w:t>1761.31</w:t>
      </w:r>
      <w:r>
        <w:rPr>
          <w:rFonts w:hint="eastAsia"/>
          <w:sz w:val="32"/>
          <w:szCs w:val="32"/>
        </w:rPr>
        <w:t>万元，农田水利项目减少</w:t>
      </w:r>
      <w:r>
        <w:rPr>
          <w:sz w:val="32"/>
          <w:szCs w:val="32"/>
        </w:rPr>
        <w:t>824.38</w:t>
      </w:r>
      <w:r>
        <w:rPr>
          <w:rFonts w:hint="eastAsia"/>
          <w:sz w:val="32"/>
          <w:szCs w:val="32"/>
        </w:rPr>
        <w:t>万元，水利工程建设项目减少</w:t>
      </w:r>
      <w:r>
        <w:rPr>
          <w:sz w:val="32"/>
          <w:szCs w:val="32"/>
        </w:rPr>
        <w:t>161.84</w:t>
      </w:r>
      <w:r>
        <w:rPr>
          <w:rFonts w:hint="eastAsia"/>
          <w:sz w:val="32"/>
          <w:szCs w:val="32"/>
        </w:rPr>
        <w:t>万元。</w:t>
      </w:r>
    </w:p>
    <w:p>
      <w:pPr>
        <w:pStyle w:val="2"/>
        <w:spacing w:before="2" w:line="520" w:lineRule="exact"/>
        <w:ind w:right="270" w:firstLine="696" w:firstLineChars="225"/>
        <w:jc w:val="both"/>
        <w:rPr>
          <w:b/>
          <w:spacing w:val="-6"/>
        </w:rPr>
      </w:pPr>
      <w:r>
        <w:rPr>
          <w:rFonts w:hint="eastAsia"/>
          <w:b/>
          <w:spacing w:val="-6"/>
        </w:rPr>
        <w:t>（二）结构情况</w:t>
      </w:r>
    </w:p>
    <w:p>
      <w:pPr>
        <w:pStyle w:val="2"/>
        <w:spacing w:before="2" w:line="520" w:lineRule="exact"/>
        <w:ind w:right="270" w:firstLine="693" w:firstLineChars="225"/>
        <w:jc w:val="both"/>
        <w:rPr>
          <w:spacing w:val="-6"/>
        </w:rPr>
      </w:pPr>
      <w:r>
        <w:rPr>
          <w:spacing w:val="-6"/>
        </w:rPr>
        <w:t xml:space="preserve">2017 </w:t>
      </w:r>
      <w:r>
        <w:rPr>
          <w:rFonts w:hint="eastAsia"/>
          <w:spacing w:val="-6"/>
        </w:rPr>
        <w:t>年度一般公共预算财政拨款支出</w:t>
      </w:r>
      <w:r>
        <w:t>4285.06</w:t>
      </w:r>
      <w:r>
        <w:rPr>
          <w:spacing w:val="-6"/>
        </w:rPr>
        <w:t xml:space="preserve"> </w:t>
      </w:r>
      <w:r>
        <w:rPr>
          <w:rFonts w:hint="eastAsia"/>
          <w:spacing w:val="-6"/>
        </w:rPr>
        <w:t>万元，主要用于以下方面：农林水（类）支出</w:t>
      </w:r>
      <w:r>
        <w:rPr>
          <w:spacing w:val="-6"/>
        </w:rPr>
        <w:t>3887</w:t>
      </w:r>
      <w:r>
        <w:rPr>
          <w:rFonts w:hint="eastAsia"/>
          <w:spacing w:val="-6"/>
        </w:rPr>
        <w:t>万元，占</w:t>
      </w:r>
      <w:r>
        <w:rPr>
          <w:spacing w:val="-6"/>
        </w:rPr>
        <w:t>89 %</w:t>
      </w:r>
      <w:r>
        <w:rPr>
          <w:rFonts w:hint="eastAsia"/>
          <w:spacing w:val="-6"/>
        </w:rPr>
        <w:t>；社会保障和就业支出</w:t>
      </w:r>
      <w:r>
        <w:rPr>
          <w:spacing w:val="-6"/>
        </w:rPr>
        <w:t>387.65</w:t>
      </w:r>
      <w:r>
        <w:rPr>
          <w:rFonts w:hint="eastAsia"/>
          <w:spacing w:val="-6"/>
        </w:rPr>
        <w:t>万元，占</w:t>
      </w:r>
      <w:r>
        <w:rPr>
          <w:spacing w:val="-6"/>
        </w:rPr>
        <w:t>9%</w:t>
      </w:r>
      <w:r>
        <w:rPr>
          <w:rFonts w:hint="eastAsia"/>
          <w:spacing w:val="-6"/>
        </w:rPr>
        <w:t>；医疗卫生与计划生育支出</w:t>
      </w:r>
      <w:r>
        <w:rPr>
          <w:spacing w:val="-6"/>
        </w:rPr>
        <w:t>10.41</w:t>
      </w:r>
      <w:r>
        <w:rPr>
          <w:rFonts w:hint="eastAsia"/>
          <w:spacing w:val="-6"/>
        </w:rPr>
        <w:t>万元，占</w:t>
      </w:r>
      <w:r>
        <w:rPr>
          <w:spacing w:val="-6"/>
        </w:rPr>
        <w:t>2%</w:t>
      </w:r>
      <w:r>
        <w:rPr>
          <w:rFonts w:hint="eastAsia"/>
          <w:spacing w:val="-6"/>
        </w:rPr>
        <w:t>。</w:t>
      </w:r>
    </w:p>
    <w:p>
      <w:pPr>
        <w:pStyle w:val="2"/>
        <w:spacing w:before="2" w:line="520" w:lineRule="exact"/>
        <w:ind w:right="270" w:firstLine="696" w:firstLineChars="225"/>
        <w:jc w:val="both"/>
        <w:rPr>
          <w:b/>
          <w:spacing w:val="-6"/>
        </w:rPr>
      </w:pPr>
      <w:r>
        <w:rPr>
          <w:rFonts w:hint="eastAsia"/>
          <w:b/>
          <w:spacing w:val="-6"/>
        </w:rPr>
        <w:t>（三）具体情况</w:t>
      </w:r>
      <w:r>
        <w:rPr>
          <w:b/>
          <w:spacing w:val="-6"/>
        </w:rPr>
        <w:t>.</w:t>
      </w:r>
    </w:p>
    <w:p>
      <w:pPr>
        <w:pStyle w:val="2"/>
        <w:spacing w:before="2" w:line="520" w:lineRule="exact"/>
        <w:ind w:right="270" w:firstLine="720" w:firstLineChars="225"/>
        <w:jc w:val="both"/>
      </w:pPr>
      <w:r>
        <w:t xml:space="preserve">2017 </w:t>
      </w:r>
      <w:r>
        <w:rPr>
          <w:rFonts w:hint="eastAsia"/>
        </w:rPr>
        <w:t>年度一般公共预算财政拨款支出年初预算为</w:t>
      </w:r>
      <w:r>
        <w:t>1716.68</w:t>
      </w:r>
      <w:r>
        <w:rPr>
          <w:rFonts w:hint="eastAsia"/>
        </w:rPr>
        <w:t>万元，支出决算为</w:t>
      </w:r>
      <w:r>
        <w:t>4289.74</w:t>
      </w:r>
      <w:r>
        <w:rPr>
          <w:rFonts w:hint="eastAsia"/>
        </w:rPr>
        <w:t>万元，完成年初预算的</w:t>
      </w:r>
      <w:r>
        <w:t>249.88%</w:t>
      </w:r>
      <w:r>
        <w:rPr>
          <w:rFonts w:hint="eastAsia"/>
        </w:rPr>
        <w:t>。</w:t>
      </w:r>
    </w:p>
    <w:p>
      <w:pPr>
        <w:pStyle w:val="2"/>
        <w:spacing w:before="2" w:line="520" w:lineRule="exact"/>
        <w:ind w:right="270" w:firstLine="720" w:firstLineChars="225"/>
        <w:jc w:val="both"/>
        <w:rPr>
          <w:spacing w:val="-6"/>
        </w:rPr>
      </w:pPr>
      <w:r>
        <w:t xml:space="preserve">1. </w:t>
      </w:r>
      <w:r>
        <w:rPr>
          <w:rFonts w:hint="eastAsia"/>
          <w:b/>
          <w:spacing w:val="-6"/>
        </w:rPr>
        <w:t>社会保障和就业支出（类）行政事业单位离退休（款）</w:t>
      </w:r>
      <w:r>
        <w:rPr>
          <w:b/>
          <w:spacing w:val="-6"/>
        </w:rPr>
        <w:t xml:space="preserve">  </w:t>
      </w:r>
      <w:r>
        <w:rPr>
          <w:rFonts w:hint="eastAsia"/>
          <w:b/>
          <w:spacing w:val="-6"/>
        </w:rPr>
        <w:t>事业单位离退休（项）</w:t>
      </w:r>
      <w:r>
        <w:rPr>
          <w:rFonts w:hint="eastAsia"/>
          <w:spacing w:val="-6"/>
        </w:rPr>
        <w:t>年初预算为</w:t>
      </w:r>
      <w:r>
        <w:rPr>
          <w:spacing w:val="-6"/>
        </w:rPr>
        <w:t>88.93</w:t>
      </w:r>
      <w:r>
        <w:rPr>
          <w:rFonts w:hint="eastAsia"/>
          <w:spacing w:val="-6"/>
        </w:rPr>
        <w:t>万元，支出决算为</w:t>
      </w:r>
      <w:r>
        <w:rPr>
          <w:spacing w:val="-6"/>
        </w:rPr>
        <w:t>54.1</w:t>
      </w:r>
      <w:r>
        <w:rPr>
          <w:rFonts w:hint="eastAsia"/>
          <w:spacing w:val="-6"/>
        </w:rPr>
        <w:t>万元。决算数小于预算数的主要原因是该项预算包括归口管理的行政单位离退休（项）的预算。</w:t>
      </w:r>
    </w:p>
    <w:p>
      <w:pPr>
        <w:pStyle w:val="2"/>
        <w:spacing w:before="2" w:line="520" w:lineRule="exact"/>
        <w:ind w:right="270" w:firstLine="696" w:firstLineChars="225"/>
        <w:jc w:val="both"/>
        <w:rPr>
          <w:b/>
          <w:spacing w:val="-6"/>
        </w:rPr>
      </w:pPr>
      <w:r>
        <w:rPr>
          <w:b/>
          <w:bCs/>
          <w:spacing w:val="-6"/>
        </w:rPr>
        <w:t>2</w:t>
      </w:r>
      <w:r>
        <w:rPr>
          <w:rFonts w:hint="eastAsia"/>
          <w:spacing w:val="-6"/>
        </w:rPr>
        <w:t>．</w:t>
      </w:r>
      <w:r>
        <w:rPr>
          <w:rFonts w:hint="eastAsia"/>
          <w:b/>
          <w:spacing w:val="-6"/>
        </w:rPr>
        <w:t>社会保障和就业支出（类）行政事业单位离退休（款）归口管理的行政单位离退休（项）。</w:t>
      </w:r>
      <w:r>
        <w:rPr>
          <w:rFonts w:hint="eastAsia"/>
          <w:spacing w:val="-6"/>
        </w:rPr>
        <w:t>年初预算为</w:t>
      </w:r>
      <w:r>
        <w:rPr>
          <w:spacing w:val="-6"/>
        </w:rPr>
        <w:t>88.93</w:t>
      </w:r>
      <w:r>
        <w:rPr>
          <w:rFonts w:hint="eastAsia"/>
          <w:spacing w:val="-6"/>
        </w:rPr>
        <w:t>万元，支出决算为</w:t>
      </w:r>
      <w:r>
        <w:rPr>
          <w:spacing w:val="-6"/>
        </w:rPr>
        <w:t>46.19</w:t>
      </w:r>
      <w:r>
        <w:rPr>
          <w:rFonts w:hint="eastAsia"/>
          <w:spacing w:val="-6"/>
        </w:rPr>
        <w:t>万元，决算数小于预算数的主要原因是该项预算包括事业单位离退休（项）的预算。</w:t>
      </w:r>
    </w:p>
    <w:p>
      <w:pPr>
        <w:pStyle w:val="2"/>
        <w:spacing w:before="2" w:line="520" w:lineRule="exact"/>
        <w:ind w:right="270" w:firstLine="696" w:firstLineChars="225"/>
        <w:jc w:val="both"/>
        <w:rPr>
          <w:b/>
          <w:spacing w:val="-6"/>
        </w:rPr>
      </w:pPr>
      <w:r>
        <w:rPr>
          <w:b/>
          <w:spacing w:val="-6"/>
        </w:rPr>
        <w:t>3.</w:t>
      </w:r>
      <w:r>
        <w:rPr>
          <w:rFonts w:hint="eastAsia"/>
          <w:b/>
          <w:spacing w:val="-6"/>
        </w:rPr>
        <w:t>社会保障和就业支出（类）行政事业单位离退休（款）机关事业单位基本养老保险缴费支出（项）</w:t>
      </w:r>
      <w:r>
        <w:rPr>
          <w:rFonts w:hint="eastAsia"/>
          <w:spacing w:val="-6"/>
        </w:rPr>
        <w:t>年初预算为</w:t>
      </w:r>
      <w:r>
        <w:rPr>
          <w:spacing w:val="-6"/>
        </w:rPr>
        <w:t>0</w:t>
      </w:r>
      <w:r>
        <w:rPr>
          <w:rFonts w:hint="eastAsia"/>
          <w:spacing w:val="-6"/>
        </w:rPr>
        <w:t>万元，支出决算为</w:t>
      </w:r>
      <w:r>
        <w:rPr>
          <w:spacing w:val="-6"/>
        </w:rPr>
        <w:t>249.12</w:t>
      </w:r>
      <w:r>
        <w:rPr>
          <w:rFonts w:hint="eastAsia"/>
          <w:spacing w:val="-6"/>
        </w:rPr>
        <w:t>万元，决算数大于预算数的主要原因是追加企业下岗职工养老保险单位承担部分。</w:t>
      </w:r>
    </w:p>
    <w:p>
      <w:pPr>
        <w:pStyle w:val="2"/>
        <w:spacing w:before="2" w:line="520" w:lineRule="exact"/>
        <w:ind w:right="270" w:firstLine="696" w:firstLineChars="225"/>
        <w:jc w:val="both"/>
        <w:rPr>
          <w:spacing w:val="-6"/>
        </w:rPr>
      </w:pPr>
      <w:r>
        <w:rPr>
          <w:b/>
          <w:bCs/>
          <w:spacing w:val="-6"/>
        </w:rPr>
        <w:t>4</w:t>
      </w:r>
      <w:r>
        <w:rPr>
          <w:rFonts w:hint="eastAsia"/>
          <w:spacing w:val="-6"/>
        </w:rPr>
        <w:t>．</w:t>
      </w:r>
      <w:r>
        <w:rPr>
          <w:rFonts w:hint="eastAsia"/>
          <w:b/>
          <w:spacing w:val="-6"/>
        </w:rPr>
        <w:t>医疗卫生与计划生育支出（类）行政事业单位医疗（款事业单位医疗（项）。</w:t>
      </w:r>
      <w:r>
        <w:rPr>
          <w:rFonts w:hint="eastAsia"/>
          <w:spacing w:val="-6"/>
        </w:rPr>
        <w:t>年初预算为</w:t>
      </w:r>
      <w:r>
        <w:rPr>
          <w:spacing w:val="-6"/>
        </w:rPr>
        <w:t>0</w:t>
      </w:r>
      <w:r>
        <w:rPr>
          <w:rFonts w:hint="eastAsia"/>
          <w:spacing w:val="-6"/>
        </w:rPr>
        <w:t>万元，支出决算为</w:t>
      </w:r>
      <w:r>
        <w:rPr>
          <w:spacing w:val="-6"/>
        </w:rPr>
        <w:t>10.41</w:t>
      </w:r>
      <w:r>
        <w:rPr>
          <w:rFonts w:hint="eastAsia"/>
          <w:spacing w:val="-6"/>
        </w:rPr>
        <w:t>万元，决算数大于预算数的主要原因预算追加离退休人员医疗保险。</w:t>
      </w:r>
    </w:p>
    <w:p>
      <w:pPr>
        <w:pStyle w:val="2"/>
        <w:spacing w:before="2" w:line="520" w:lineRule="exact"/>
        <w:ind w:right="270" w:firstLine="696" w:firstLineChars="225"/>
        <w:jc w:val="both"/>
        <w:rPr>
          <w:spacing w:val="-6"/>
        </w:rPr>
      </w:pPr>
      <w:r>
        <w:rPr>
          <w:b/>
          <w:bCs/>
          <w:spacing w:val="-6"/>
        </w:rPr>
        <w:t>5</w:t>
      </w:r>
      <w:r>
        <w:rPr>
          <w:rFonts w:hint="eastAsia"/>
          <w:spacing w:val="-6"/>
        </w:rPr>
        <w:t>．</w:t>
      </w:r>
      <w:r>
        <w:rPr>
          <w:rFonts w:hint="eastAsia"/>
          <w:b/>
          <w:spacing w:val="-6"/>
        </w:rPr>
        <w:t>社会保障和就业支出（类）抚恤（款）其他优抚支出（项）。</w:t>
      </w:r>
      <w:r>
        <w:rPr>
          <w:rFonts w:hint="eastAsia"/>
          <w:spacing w:val="-6"/>
        </w:rPr>
        <w:t>年初预算为</w:t>
      </w:r>
      <w:r>
        <w:rPr>
          <w:spacing w:val="-6"/>
        </w:rPr>
        <w:t>0</w:t>
      </w:r>
      <w:r>
        <w:rPr>
          <w:rFonts w:hint="eastAsia"/>
          <w:spacing w:val="-6"/>
        </w:rPr>
        <w:t>万元，支出决算为</w:t>
      </w:r>
      <w:r>
        <w:rPr>
          <w:spacing w:val="-6"/>
        </w:rPr>
        <w:t>38.25</w:t>
      </w:r>
      <w:r>
        <w:rPr>
          <w:rFonts w:hint="eastAsia"/>
          <w:spacing w:val="-6"/>
        </w:rPr>
        <w:t>万。此项预算支出为遗属补助，决算时计入抚恤项。</w:t>
      </w:r>
    </w:p>
    <w:p>
      <w:pPr>
        <w:pStyle w:val="2"/>
        <w:spacing w:before="2" w:line="520" w:lineRule="exact"/>
        <w:ind w:right="270" w:firstLine="696" w:firstLineChars="225"/>
        <w:jc w:val="both"/>
        <w:rPr>
          <w:spacing w:val="-6"/>
        </w:rPr>
      </w:pPr>
      <w:r>
        <w:rPr>
          <w:b/>
          <w:bCs/>
          <w:spacing w:val="-6"/>
        </w:rPr>
        <w:t>6</w:t>
      </w:r>
      <w:r>
        <w:rPr>
          <w:rFonts w:hint="eastAsia"/>
          <w:spacing w:val="-6"/>
        </w:rPr>
        <w:t>．</w:t>
      </w:r>
      <w:r>
        <w:rPr>
          <w:rFonts w:hint="eastAsia"/>
          <w:b/>
          <w:spacing w:val="-6"/>
        </w:rPr>
        <w:t>农林水支出（类）水利（款）行政运行（项）。</w:t>
      </w:r>
      <w:r>
        <w:rPr>
          <w:rFonts w:hint="eastAsia"/>
          <w:spacing w:val="-6"/>
        </w:rPr>
        <w:t>年初预算为</w:t>
      </w:r>
      <w:r>
        <w:rPr>
          <w:spacing w:val="-6"/>
        </w:rPr>
        <w:t>112.05</w:t>
      </w:r>
      <w:r>
        <w:rPr>
          <w:rFonts w:hint="eastAsia"/>
          <w:spacing w:val="-6"/>
        </w:rPr>
        <w:t>万元，支出决算为</w:t>
      </w:r>
      <w:r>
        <w:rPr>
          <w:spacing w:val="-6"/>
        </w:rPr>
        <w:t>143.74</w:t>
      </w:r>
      <w:r>
        <w:rPr>
          <w:rFonts w:hint="eastAsia"/>
          <w:spacing w:val="-6"/>
        </w:rPr>
        <w:t>万元。决算数大于预算数的主要原因是追加晋级晋档，工资经费等。</w:t>
      </w:r>
    </w:p>
    <w:p>
      <w:pPr>
        <w:pStyle w:val="2"/>
        <w:spacing w:before="2" w:line="520" w:lineRule="exact"/>
        <w:ind w:right="270" w:firstLine="696" w:firstLineChars="225"/>
        <w:jc w:val="both"/>
        <w:rPr>
          <w:spacing w:val="-6"/>
        </w:rPr>
      </w:pPr>
      <w:r>
        <w:rPr>
          <w:b/>
          <w:spacing w:val="-6"/>
        </w:rPr>
        <w:t>7</w:t>
      </w:r>
      <w:r>
        <w:rPr>
          <w:rFonts w:hint="eastAsia"/>
          <w:b/>
          <w:spacing w:val="-6"/>
        </w:rPr>
        <w:t>．农林水支出（类）水利（款）水利工程建设（项）。</w:t>
      </w:r>
      <w:r>
        <w:rPr>
          <w:rFonts w:hint="eastAsia"/>
          <w:spacing w:val="-6"/>
        </w:rPr>
        <w:t>年初预算为</w:t>
      </w:r>
      <w:r>
        <w:rPr>
          <w:spacing w:val="-6"/>
        </w:rPr>
        <w:t xml:space="preserve"> 0</w:t>
      </w:r>
      <w:r>
        <w:rPr>
          <w:rFonts w:hint="eastAsia"/>
          <w:spacing w:val="-6"/>
        </w:rPr>
        <w:t>万元，支出决算为</w:t>
      </w:r>
      <w:r>
        <w:rPr>
          <w:spacing w:val="-6"/>
        </w:rPr>
        <w:t>14.78</w:t>
      </w:r>
      <w:r>
        <w:rPr>
          <w:rFonts w:hint="eastAsia"/>
          <w:spacing w:val="-6"/>
        </w:rPr>
        <w:t>万元，决算数大于预算数的主要原因是用于追加农田水利基本建设经费。</w:t>
      </w:r>
    </w:p>
    <w:p>
      <w:pPr>
        <w:pStyle w:val="2"/>
        <w:spacing w:before="2" w:line="520" w:lineRule="exact"/>
        <w:ind w:right="270" w:firstLine="693" w:firstLineChars="225"/>
        <w:jc w:val="both"/>
        <w:rPr>
          <w:spacing w:val="-6"/>
        </w:rPr>
      </w:pPr>
      <w:r>
        <w:rPr>
          <w:spacing w:val="-6"/>
        </w:rPr>
        <w:t>8</w:t>
      </w:r>
      <w:r>
        <w:rPr>
          <w:rFonts w:hint="eastAsia"/>
          <w:spacing w:val="-6"/>
        </w:rPr>
        <w:t>．</w:t>
      </w:r>
      <w:r>
        <w:rPr>
          <w:rFonts w:hint="eastAsia"/>
          <w:b/>
          <w:spacing w:val="-6"/>
        </w:rPr>
        <w:t>农林水支出（类）水利（款）水利工程运行与维护（项）。</w:t>
      </w:r>
      <w:r>
        <w:rPr>
          <w:rFonts w:hint="eastAsia"/>
          <w:spacing w:val="-6"/>
        </w:rPr>
        <w:t>年初预算为</w:t>
      </w:r>
      <w:r>
        <w:rPr>
          <w:spacing w:val="-6"/>
        </w:rPr>
        <w:t>190</w:t>
      </w:r>
      <w:r>
        <w:rPr>
          <w:rFonts w:hint="eastAsia"/>
          <w:spacing w:val="-6"/>
        </w:rPr>
        <w:t>万元，支出决算为</w:t>
      </w:r>
      <w:r>
        <w:rPr>
          <w:spacing w:val="-6"/>
        </w:rPr>
        <w:t>90.09</w:t>
      </w:r>
      <w:r>
        <w:rPr>
          <w:rFonts w:hint="eastAsia"/>
          <w:spacing w:val="-6"/>
        </w:rPr>
        <w:t>万元。决算数小于预算数的主要原因是部分水利工程维修项目暂未实施。</w:t>
      </w:r>
    </w:p>
    <w:p>
      <w:pPr>
        <w:pStyle w:val="2"/>
        <w:spacing w:before="2" w:line="520" w:lineRule="exact"/>
        <w:ind w:right="270" w:firstLine="696" w:firstLineChars="225"/>
        <w:jc w:val="both"/>
        <w:rPr>
          <w:spacing w:val="-6"/>
        </w:rPr>
      </w:pPr>
      <w:r>
        <w:rPr>
          <w:b/>
          <w:bCs/>
          <w:spacing w:val="-6"/>
        </w:rPr>
        <w:t>9</w:t>
      </w:r>
      <w:r>
        <w:rPr>
          <w:rFonts w:hint="eastAsia"/>
          <w:spacing w:val="-6"/>
        </w:rPr>
        <w:t>．</w:t>
      </w:r>
      <w:r>
        <w:rPr>
          <w:rFonts w:hint="eastAsia"/>
          <w:b/>
          <w:spacing w:val="-6"/>
        </w:rPr>
        <w:t>农林水支出（类）水利（款）水利执法监督（项）。</w:t>
      </w:r>
      <w:r>
        <w:rPr>
          <w:rFonts w:hint="eastAsia"/>
          <w:spacing w:val="-6"/>
        </w:rPr>
        <w:t>年初预算</w:t>
      </w:r>
      <w:r>
        <w:rPr>
          <w:spacing w:val="-6"/>
        </w:rPr>
        <w:t>30</w:t>
      </w:r>
      <w:r>
        <w:rPr>
          <w:rFonts w:hint="eastAsia"/>
          <w:spacing w:val="-6"/>
        </w:rPr>
        <w:t>万元，支出决算</w:t>
      </w:r>
      <w:r>
        <w:rPr>
          <w:spacing w:val="-6"/>
        </w:rPr>
        <w:t>70.4</w:t>
      </w:r>
      <w:r>
        <w:rPr>
          <w:rFonts w:hint="eastAsia"/>
          <w:spacing w:val="-6"/>
        </w:rPr>
        <w:t>万元。决算数大于预算数的原因是加大水利执法力度，购置执法设备。</w:t>
      </w:r>
    </w:p>
    <w:p>
      <w:pPr>
        <w:pStyle w:val="2"/>
        <w:spacing w:before="2" w:line="520" w:lineRule="exact"/>
        <w:ind w:right="270" w:firstLine="696" w:firstLineChars="225"/>
        <w:jc w:val="both"/>
        <w:rPr>
          <w:spacing w:val="-6"/>
        </w:rPr>
      </w:pPr>
      <w:r>
        <w:rPr>
          <w:b/>
          <w:bCs/>
          <w:spacing w:val="-6"/>
        </w:rPr>
        <w:t>10</w:t>
      </w:r>
      <w:r>
        <w:rPr>
          <w:rFonts w:hint="eastAsia"/>
          <w:spacing w:val="-6"/>
        </w:rPr>
        <w:t>、</w:t>
      </w:r>
      <w:r>
        <w:rPr>
          <w:rFonts w:hint="eastAsia"/>
          <w:b/>
          <w:spacing w:val="-6"/>
        </w:rPr>
        <w:t>农林水支出（类）水利（款）水土保持（项）。</w:t>
      </w:r>
      <w:r>
        <w:rPr>
          <w:rFonts w:hint="eastAsia"/>
          <w:spacing w:val="-6"/>
        </w:rPr>
        <w:t>年初预算安排</w:t>
      </w:r>
      <w:r>
        <w:rPr>
          <w:spacing w:val="-6"/>
        </w:rPr>
        <w:t>0</w:t>
      </w:r>
      <w:r>
        <w:rPr>
          <w:rFonts w:hint="eastAsia"/>
          <w:spacing w:val="-6"/>
        </w:rPr>
        <w:t>万元，支出决算</w:t>
      </w:r>
      <w:r>
        <w:rPr>
          <w:spacing w:val="-6"/>
        </w:rPr>
        <w:t>1.94</w:t>
      </w:r>
      <w:r>
        <w:rPr>
          <w:rFonts w:hint="eastAsia"/>
          <w:spacing w:val="-6"/>
        </w:rPr>
        <w:t>万元。决算数大于预算数的原因是以前年度水土保持项目质保金。</w:t>
      </w:r>
      <w:r>
        <w:rPr>
          <w:spacing w:val="-6"/>
        </w:rPr>
        <w:t xml:space="preserve"> </w:t>
      </w:r>
    </w:p>
    <w:p>
      <w:pPr>
        <w:pStyle w:val="2"/>
        <w:spacing w:before="2" w:line="520" w:lineRule="exact"/>
        <w:ind w:right="270" w:firstLine="696" w:firstLineChars="225"/>
        <w:jc w:val="both"/>
        <w:rPr>
          <w:lang w:val="en-US"/>
        </w:rPr>
      </w:pPr>
      <w:r>
        <w:rPr>
          <w:b/>
          <w:bCs/>
          <w:spacing w:val="-6"/>
        </w:rPr>
        <w:t>11</w:t>
      </w:r>
      <w:r>
        <w:rPr>
          <w:spacing w:val="-6"/>
        </w:rPr>
        <w:t>.</w:t>
      </w:r>
      <w:r>
        <w:rPr>
          <w:b/>
          <w:spacing w:val="-6"/>
        </w:rPr>
        <w:t xml:space="preserve"> </w:t>
      </w:r>
      <w:r>
        <w:rPr>
          <w:rFonts w:hint="eastAsia"/>
          <w:b/>
          <w:spacing w:val="-6"/>
        </w:rPr>
        <w:t>农林水支出（类）水利（款）水资源节约管理与保护（项）</w:t>
      </w:r>
      <w:r>
        <w:rPr>
          <w:rFonts w:hint="eastAsia"/>
          <w:spacing w:val="-6"/>
        </w:rPr>
        <w:t>。年初预算为</w:t>
      </w:r>
      <w:r>
        <w:rPr>
          <w:spacing w:val="-6"/>
        </w:rPr>
        <w:t xml:space="preserve"> 0</w:t>
      </w:r>
      <w:r>
        <w:rPr>
          <w:rFonts w:hint="eastAsia"/>
          <w:spacing w:val="-6"/>
        </w:rPr>
        <w:t>万元，支出决算为</w:t>
      </w:r>
      <w:r>
        <w:rPr>
          <w:spacing w:val="-6"/>
        </w:rPr>
        <w:t xml:space="preserve"> 11 </w:t>
      </w:r>
      <w:r>
        <w:rPr>
          <w:rFonts w:hint="eastAsia"/>
          <w:spacing w:val="-6"/>
        </w:rPr>
        <w:t>万元，决算数大于预算数的主要原因是龙湖风景区项目管理费用</w:t>
      </w:r>
      <w:r>
        <w:rPr>
          <w:rFonts w:hint="eastAsia"/>
          <w:lang w:val="en-US"/>
        </w:rPr>
        <w:t>。</w:t>
      </w:r>
    </w:p>
    <w:p>
      <w:pPr>
        <w:pStyle w:val="2"/>
        <w:spacing w:before="2" w:line="520" w:lineRule="exact"/>
        <w:ind w:right="270" w:firstLine="696" w:firstLineChars="225"/>
        <w:jc w:val="both"/>
        <w:rPr>
          <w:spacing w:val="-6"/>
        </w:rPr>
      </w:pPr>
      <w:r>
        <w:rPr>
          <w:b/>
          <w:spacing w:val="-6"/>
        </w:rPr>
        <w:t xml:space="preserve">12. </w:t>
      </w:r>
      <w:r>
        <w:rPr>
          <w:rFonts w:hint="eastAsia"/>
          <w:b/>
          <w:spacing w:val="-6"/>
        </w:rPr>
        <w:t>农林水支出（类）水利（款）防汛（项）</w:t>
      </w:r>
      <w:r>
        <w:rPr>
          <w:rFonts w:hint="eastAsia"/>
          <w:spacing w:val="-6"/>
        </w:rPr>
        <w:t>。年初预算为</w:t>
      </w:r>
      <w:r>
        <w:rPr>
          <w:spacing w:val="-6"/>
        </w:rPr>
        <w:t>100</w:t>
      </w:r>
      <w:r>
        <w:rPr>
          <w:rFonts w:hint="eastAsia"/>
          <w:spacing w:val="-6"/>
        </w:rPr>
        <w:t>万元，支出决算</w:t>
      </w:r>
      <w:r>
        <w:rPr>
          <w:spacing w:val="-6"/>
        </w:rPr>
        <w:t>128.59</w:t>
      </w:r>
      <w:r>
        <w:rPr>
          <w:rFonts w:hint="eastAsia"/>
          <w:spacing w:val="-6"/>
        </w:rPr>
        <w:t>万元。决算数大于预算数的原因是增加储备防汛物资。</w:t>
      </w:r>
      <w:r>
        <w:rPr>
          <w:spacing w:val="-6"/>
        </w:rPr>
        <w:t xml:space="preserve"> </w:t>
      </w:r>
    </w:p>
    <w:p>
      <w:pPr>
        <w:pStyle w:val="2"/>
        <w:spacing w:before="2" w:line="520" w:lineRule="exact"/>
        <w:ind w:right="270" w:firstLine="696" w:firstLineChars="225"/>
        <w:jc w:val="both"/>
        <w:rPr>
          <w:spacing w:val="-6"/>
        </w:rPr>
      </w:pPr>
      <w:r>
        <w:rPr>
          <w:b/>
          <w:spacing w:val="-6"/>
        </w:rPr>
        <w:t>13</w:t>
      </w:r>
      <w:r>
        <w:rPr>
          <w:rFonts w:hint="eastAsia"/>
          <w:spacing w:val="-6"/>
        </w:rPr>
        <w:t>．</w:t>
      </w:r>
      <w:r>
        <w:rPr>
          <w:rFonts w:hint="eastAsia"/>
          <w:b/>
          <w:spacing w:val="-6"/>
        </w:rPr>
        <w:t>农林水支出（类）水利（款）抗旱（项）</w:t>
      </w:r>
      <w:r>
        <w:rPr>
          <w:rFonts w:hint="eastAsia"/>
          <w:spacing w:val="-6"/>
        </w:rPr>
        <w:t>。初预算为</w:t>
      </w:r>
      <w:r>
        <w:rPr>
          <w:spacing w:val="-6"/>
        </w:rPr>
        <w:t>0</w:t>
      </w:r>
      <w:r>
        <w:rPr>
          <w:rFonts w:hint="eastAsia"/>
          <w:spacing w:val="-6"/>
        </w:rPr>
        <w:t>万元，支出决算为</w:t>
      </w:r>
      <w:r>
        <w:rPr>
          <w:spacing w:val="-6"/>
        </w:rPr>
        <w:t>47.64</w:t>
      </w:r>
      <w:r>
        <w:rPr>
          <w:rFonts w:hint="eastAsia"/>
          <w:spacing w:val="-6"/>
        </w:rPr>
        <w:t>万元，决算数大于预算数的主要原因支付抗旱项目工程款。</w:t>
      </w:r>
    </w:p>
    <w:p>
      <w:pPr>
        <w:pStyle w:val="2"/>
        <w:spacing w:before="2" w:line="520" w:lineRule="exact"/>
        <w:ind w:right="270" w:firstLine="696" w:firstLineChars="225"/>
        <w:jc w:val="both"/>
        <w:rPr>
          <w:spacing w:val="-6"/>
        </w:rPr>
      </w:pPr>
      <w:r>
        <w:rPr>
          <w:b/>
          <w:spacing w:val="-6"/>
        </w:rPr>
        <w:t>14</w:t>
      </w:r>
      <w:r>
        <w:rPr>
          <w:rFonts w:hint="eastAsia"/>
          <w:spacing w:val="-6"/>
        </w:rPr>
        <w:t>．</w:t>
      </w:r>
      <w:r>
        <w:rPr>
          <w:rFonts w:hint="eastAsia"/>
          <w:b/>
          <w:spacing w:val="-6"/>
        </w:rPr>
        <w:t>农林水支出（类）水利（款）农田水利（项）</w:t>
      </w:r>
      <w:r>
        <w:rPr>
          <w:rFonts w:hint="eastAsia"/>
          <w:spacing w:val="-6"/>
        </w:rPr>
        <w:t>。年初预算未安排该支出，支出决算为</w:t>
      </w:r>
      <w:r>
        <w:rPr>
          <w:spacing w:val="-6"/>
        </w:rPr>
        <w:t>404.07</w:t>
      </w:r>
      <w:r>
        <w:rPr>
          <w:rFonts w:hint="eastAsia"/>
          <w:spacing w:val="-6"/>
        </w:rPr>
        <w:t>万元，决算数大于预算数的主要原因是支付上年度应付工程款。</w:t>
      </w:r>
    </w:p>
    <w:p>
      <w:pPr>
        <w:pStyle w:val="2"/>
        <w:spacing w:before="2" w:line="520" w:lineRule="exact"/>
        <w:ind w:right="270" w:firstLine="696" w:firstLineChars="225"/>
        <w:jc w:val="both"/>
        <w:rPr>
          <w:spacing w:val="-6"/>
        </w:rPr>
      </w:pPr>
      <w:r>
        <w:rPr>
          <w:b/>
          <w:spacing w:val="-6"/>
        </w:rPr>
        <w:t>15</w:t>
      </w:r>
      <w:r>
        <w:rPr>
          <w:rFonts w:hint="eastAsia"/>
          <w:spacing w:val="-6"/>
        </w:rPr>
        <w:t>．</w:t>
      </w:r>
      <w:r>
        <w:rPr>
          <w:rFonts w:hint="eastAsia"/>
          <w:b/>
          <w:spacing w:val="-6"/>
        </w:rPr>
        <w:t>农林水支出（类）水利（款）农村人畜饮水（项）</w:t>
      </w:r>
      <w:r>
        <w:rPr>
          <w:rFonts w:hint="eastAsia"/>
          <w:spacing w:val="-6"/>
        </w:rPr>
        <w:t>。初预算为</w:t>
      </w:r>
      <w:r>
        <w:rPr>
          <w:spacing w:val="-6"/>
        </w:rPr>
        <w:t>30</w:t>
      </w:r>
      <w:r>
        <w:rPr>
          <w:rFonts w:hint="eastAsia"/>
          <w:spacing w:val="-6"/>
        </w:rPr>
        <w:t>万元，支出决算为</w:t>
      </w:r>
      <w:r>
        <w:rPr>
          <w:spacing w:val="-6"/>
        </w:rPr>
        <w:t>346.88</w:t>
      </w:r>
      <w:r>
        <w:rPr>
          <w:rFonts w:hint="eastAsia"/>
          <w:spacing w:val="-6"/>
        </w:rPr>
        <w:t>万元，决算数大于预算数的主要原因是支付农村安全饮水项目质保金。</w:t>
      </w:r>
    </w:p>
    <w:p>
      <w:pPr>
        <w:pStyle w:val="2"/>
        <w:spacing w:before="2" w:line="520" w:lineRule="exact"/>
        <w:ind w:right="270" w:firstLine="696" w:firstLineChars="225"/>
        <w:jc w:val="both"/>
        <w:rPr>
          <w:spacing w:val="-6"/>
        </w:rPr>
      </w:pPr>
      <w:r>
        <w:rPr>
          <w:b/>
          <w:spacing w:val="-6"/>
        </w:rPr>
        <w:t>16</w:t>
      </w:r>
      <w:r>
        <w:rPr>
          <w:rFonts w:hint="eastAsia"/>
          <w:spacing w:val="-6"/>
        </w:rPr>
        <w:t>．</w:t>
      </w:r>
      <w:r>
        <w:rPr>
          <w:rFonts w:hint="eastAsia"/>
          <w:b/>
          <w:spacing w:val="-6"/>
        </w:rPr>
        <w:t>农林水支出（类）水利（款）其他水利支出（项）</w:t>
      </w:r>
      <w:r>
        <w:rPr>
          <w:rFonts w:hint="eastAsia"/>
          <w:spacing w:val="-6"/>
        </w:rPr>
        <w:t>。年初预算为</w:t>
      </w:r>
      <w:r>
        <w:rPr>
          <w:spacing w:val="-6"/>
        </w:rPr>
        <w:t>359.13</w:t>
      </w:r>
      <w:r>
        <w:rPr>
          <w:rFonts w:hint="eastAsia"/>
          <w:spacing w:val="-6"/>
        </w:rPr>
        <w:t>万元，支出决算为</w:t>
      </w:r>
      <w:r>
        <w:rPr>
          <w:spacing w:val="-6"/>
        </w:rPr>
        <w:t>866.56</w:t>
      </w:r>
      <w:r>
        <w:rPr>
          <w:rFonts w:hint="eastAsia"/>
          <w:spacing w:val="-6"/>
        </w:rPr>
        <w:t>万元，决算数大于预算数的主要原因增加水利部门办公费、水利工程环保治理费用，支出中调整计入事业人员绩效工资。</w:t>
      </w:r>
    </w:p>
    <w:p>
      <w:pPr>
        <w:pStyle w:val="2"/>
        <w:spacing w:before="2" w:line="520" w:lineRule="exact"/>
        <w:ind w:right="270" w:firstLine="696" w:firstLineChars="225"/>
        <w:jc w:val="both"/>
        <w:rPr>
          <w:spacing w:val="-6"/>
        </w:rPr>
      </w:pPr>
      <w:r>
        <w:rPr>
          <w:b/>
          <w:spacing w:val="-6"/>
        </w:rPr>
        <w:t xml:space="preserve"> 17</w:t>
      </w:r>
      <w:r>
        <w:rPr>
          <w:rFonts w:hint="eastAsia"/>
          <w:spacing w:val="-6"/>
        </w:rPr>
        <w:t>．</w:t>
      </w:r>
      <w:r>
        <w:rPr>
          <w:rFonts w:hint="eastAsia"/>
          <w:b/>
          <w:spacing w:val="-6"/>
        </w:rPr>
        <w:t>农林水支出（类）水利（款）扶贫（项）</w:t>
      </w:r>
      <w:r>
        <w:rPr>
          <w:rFonts w:hint="eastAsia"/>
          <w:spacing w:val="-6"/>
        </w:rPr>
        <w:t>。年初预算为</w:t>
      </w:r>
      <w:r>
        <w:rPr>
          <w:spacing w:val="-6"/>
        </w:rPr>
        <w:t>0</w:t>
      </w:r>
      <w:r>
        <w:rPr>
          <w:rFonts w:hint="eastAsia"/>
          <w:spacing w:val="-6"/>
        </w:rPr>
        <w:t>万元，支出决算为</w:t>
      </w:r>
      <w:r>
        <w:rPr>
          <w:spacing w:val="-6"/>
        </w:rPr>
        <w:t>1761.31</w:t>
      </w:r>
      <w:r>
        <w:rPr>
          <w:rFonts w:hint="eastAsia"/>
          <w:spacing w:val="-6"/>
        </w:rPr>
        <w:t>万元。决算数大于预算数的主要原因支付扶贫项目整合农村饮水安全资金。</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六、一般公共预算财政拨款基本支出决算情况说明</w:t>
      </w:r>
      <w:r>
        <w:rPr>
          <w:rFonts w:ascii="黑体" w:hAnsi="黑体" w:eastAsia="黑体"/>
          <w:lang w:val="en-US"/>
        </w:rPr>
        <w:t xml:space="preserve"> </w:t>
      </w:r>
    </w:p>
    <w:p>
      <w:pPr>
        <w:widowControl/>
        <w:spacing w:line="590" w:lineRule="exact"/>
        <w:ind w:firstLine="640" w:firstLineChars="200"/>
        <w:rPr>
          <w:sz w:val="32"/>
          <w:szCs w:val="32"/>
        </w:rPr>
      </w:pPr>
      <w:r>
        <w:rPr>
          <w:sz w:val="32"/>
          <w:szCs w:val="32"/>
          <w:lang w:val="en-US"/>
        </w:rPr>
        <w:t>2017</w:t>
      </w:r>
      <w:r>
        <w:rPr>
          <w:rFonts w:hint="eastAsia"/>
          <w:sz w:val="32"/>
          <w:szCs w:val="32"/>
          <w:lang w:val="en-US"/>
        </w:rPr>
        <w:t>年一般公共预算财政拨款基本支出</w:t>
      </w:r>
      <w:r>
        <w:rPr>
          <w:sz w:val="32"/>
          <w:szCs w:val="32"/>
        </w:rPr>
        <w:t>1545.67</w:t>
      </w:r>
      <w:r>
        <w:rPr>
          <w:rFonts w:hint="eastAsia"/>
          <w:sz w:val="32"/>
          <w:szCs w:val="32"/>
          <w:lang w:val="en-US"/>
        </w:rPr>
        <w:t>万元。与</w:t>
      </w:r>
      <w:r>
        <w:rPr>
          <w:sz w:val="32"/>
          <w:szCs w:val="32"/>
          <w:lang w:val="en-US"/>
        </w:rPr>
        <w:t xml:space="preserve">2016 </w:t>
      </w:r>
      <w:r>
        <w:rPr>
          <w:rFonts w:hint="eastAsia"/>
          <w:sz w:val="32"/>
          <w:szCs w:val="32"/>
          <w:lang w:val="en-US"/>
        </w:rPr>
        <w:t>年相比，增加</w:t>
      </w:r>
      <w:r>
        <w:rPr>
          <w:sz w:val="32"/>
          <w:szCs w:val="32"/>
        </w:rPr>
        <w:t>257.99</w:t>
      </w:r>
      <w:r>
        <w:rPr>
          <w:rFonts w:hint="eastAsia"/>
          <w:sz w:val="32"/>
          <w:szCs w:val="32"/>
          <w:lang w:val="en-US"/>
        </w:rPr>
        <w:t>万元，增长</w:t>
      </w:r>
      <w:r>
        <w:rPr>
          <w:sz w:val="32"/>
          <w:szCs w:val="32"/>
          <w:lang w:val="en-US"/>
        </w:rPr>
        <w:t>20%</w:t>
      </w:r>
      <w:r>
        <w:rPr>
          <w:rFonts w:hint="eastAsia"/>
          <w:sz w:val="32"/>
          <w:szCs w:val="32"/>
          <w:lang w:val="en-US"/>
        </w:rPr>
        <w:t>。变动的主要原因：</w:t>
      </w:r>
      <w:r>
        <w:rPr>
          <w:rFonts w:hint="eastAsia"/>
          <w:sz w:val="32"/>
          <w:szCs w:val="32"/>
        </w:rPr>
        <w:t>工资福利、社会保障等农林水支出增加。其中：人员经费</w:t>
      </w:r>
      <w:r>
        <w:rPr>
          <w:sz w:val="32"/>
          <w:szCs w:val="32"/>
        </w:rPr>
        <w:t>1212.83</w:t>
      </w:r>
      <w:r>
        <w:rPr>
          <w:rFonts w:hint="eastAsia"/>
          <w:sz w:val="32"/>
          <w:szCs w:val="32"/>
        </w:rPr>
        <w:t>万元，主要包括：基本工资、津贴补贴、伙食补助费、绩效工资、机关事业单位基本养老保险缴费、职业年金缴费、其他社会保障缴费、其他工资福利支出、离休费、退休费、抚恤金、生活补助、医疗费、奖励金、住房公积金、采暖补贴、物业服务补贴、其他对个人和家庭的补助支出；公用经费</w:t>
      </w:r>
      <w:r>
        <w:rPr>
          <w:sz w:val="32"/>
          <w:szCs w:val="32"/>
        </w:rPr>
        <w:t>332.84</w:t>
      </w:r>
      <w:r>
        <w:rPr>
          <w:rFonts w:hint="eastAsia"/>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其他资本性支出。</w:t>
      </w:r>
    </w:p>
    <w:p>
      <w:pPr>
        <w:pStyle w:val="2"/>
        <w:spacing w:before="2" w:line="520" w:lineRule="exact"/>
        <w:ind w:right="270" w:firstLine="630" w:firstLineChars="225"/>
        <w:jc w:val="both"/>
        <w:rPr>
          <w:lang w:val="en-US"/>
        </w:rPr>
      </w:pPr>
      <w:r>
        <w:rPr>
          <w:rFonts w:hint="eastAsia" w:ascii="黑体" w:hAnsi="黑体" w:eastAsia="黑体"/>
          <w:spacing w:val="-20"/>
          <w:lang w:val="en-US"/>
        </w:rPr>
        <w:t>七、一般公共预算财政拨款“三公”经费支出决算情况说明</w:t>
      </w:r>
      <w:r>
        <w:rPr>
          <w:lang w:val="en-US"/>
        </w:rPr>
        <w:t xml:space="preserve"> </w:t>
      </w:r>
    </w:p>
    <w:p>
      <w:pPr>
        <w:pStyle w:val="2"/>
        <w:spacing w:before="2" w:line="520" w:lineRule="exact"/>
        <w:ind w:right="270" w:firstLine="723" w:firstLineChars="225"/>
        <w:jc w:val="both"/>
        <w:rPr>
          <w:b/>
          <w:lang w:val="en-US"/>
        </w:rPr>
      </w:pPr>
      <w:r>
        <w:rPr>
          <w:rFonts w:hint="eastAsia"/>
          <w:b/>
          <w:lang w:val="en-US"/>
        </w:rPr>
        <w:t>（一）“三公”经费财政拨款支出决算总体情况说明。</w:t>
      </w:r>
      <w:r>
        <w:rPr>
          <w:b/>
          <w:lang w:val="en-US"/>
        </w:rPr>
        <w:t xml:space="preserve"> </w:t>
      </w:r>
    </w:p>
    <w:p>
      <w:pPr>
        <w:widowControl/>
        <w:spacing w:line="590" w:lineRule="exact"/>
        <w:ind w:firstLine="640" w:firstLineChars="200"/>
        <w:rPr>
          <w:sz w:val="32"/>
          <w:szCs w:val="32"/>
        </w:rPr>
      </w:pPr>
      <w:r>
        <w:rPr>
          <w:sz w:val="32"/>
          <w:szCs w:val="32"/>
        </w:rPr>
        <w:t>2017</w:t>
      </w:r>
      <w:r>
        <w:rPr>
          <w:rFonts w:hint="eastAsia"/>
          <w:sz w:val="32"/>
          <w:szCs w:val="32"/>
        </w:rPr>
        <w:t>年度“三公”经费财政拨款支出预算为</w:t>
      </w:r>
      <w:r>
        <w:rPr>
          <w:sz w:val="32"/>
          <w:szCs w:val="32"/>
        </w:rPr>
        <w:t>11.06</w:t>
      </w:r>
      <w:r>
        <w:rPr>
          <w:rFonts w:hint="eastAsia"/>
          <w:sz w:val="32"/>
          <w:szCs w:val="32"/>
        </w:rPr>
        <w:t>万元，支出决算为</w:t>
      </w:r>
      <w:r>
        <w:rPr>
          <w:sz w:val="32"/>
          <w:szCs w:val="32"/>
        </w:rPr>
        <w:t>10.27</w:t>
      </w:r>
      <w:r>
        <w:rPr>
          <w:rFonts w:hint="eastAsia"/>
          <w:sz w:val="32"/>
          <w:szCs w:val="32"/>
        </w:rPr>
        <w:t>万元，完成预算的</w:t>
      </w:r>
      <w:r>
        <w:rPr>
          <w:sz w:val="32"/>
          <w:szCs w:val="32"/>
        </w:rPr>
        <w:t>92.8%</w:t>
      </w:r>
      <w:r>
        <w:rPr>
          <w:rFonts w:hint="eastAsia"/>
          <w:sz w:val="32"/>
          <w:szCs w:val="32"/>
        </w:rPr>
        <w:t>。</w:t>
      </w:r>
      <w:r>
        <w:rPr>
          <w:sz w:val="32"/>
          <w:szCs w:val="32"/>
        </w:rPr>
        <w:t>2017</w:t>
      </w:r>
      <w:r>
        <w:rPr>
          <w:rFonts w:hint="eastAsia"/>
          <w:sz w:val="32"/>
          <w:szCs w:val="32"/>
        </w:rPr>
        <w:t>年度“三公”经费支出决算数与预算数存在差异的主要原因是公务用车运行费和招待费减少。</w:t>
      </w:r>
      <w:r>
        <w:rPr>
          <w:sz w:val="32"/>
          <w:szCs w:val="32"/>
          <w:lang w:val="en-US"/>
        </w:rPr>
        <w:t xml:space="preserve"> </w:t>
      </w:r>
    </w:p>
    <w:p>
      <w:pPr>
        <w:pStyle w:val="2"/>
        <w:spacing w:before="2" w:line="520" w:lineRule="exact"/>
        <w:ind w:right="270" w:firstLine="723" w:firstLineChars="225"/>
        <w:jc w:val="both"/>
        <w:rPr>
          <w:b/>
          <w:lang w:val="en-US"/>
        </w:rPr>
      </w:pPr>
      <w:r>
        <w:rPr>
          <w:rFonts w:hint="eastAsia"/>
          <w:b/>
          <w:lang w:val="en-US"/>
        </w:rPr>
        <w:t>（二）“三公”经费财政拨款支出决算具体情况说明。</w:t>
      </w:r>
      <w:r>
        <w:rPr>
          <w:b/>
          <w:lang w:val="en-US"/>
        </w:rPr>
        <w:t xml:space="preserve"> </w:t>
      </w:r>
    </w:p>
    <w:p>
      <w:pPr>
        <w:widowControl/>
        <w:spacing w:line="590" w:lineRule="exact"/>
        <w:ind w:firstLine="640" w:firstLineChars="200"/>
        <w:rPr>
          <w:sz w:val="32"/>
          <w:szCs w:val="32"/>
        </w:rPr>
      </w:pPr>
      <w:r>
        <w:rPr>
          <w:sz w:val="32"/>
          <w:szCs w:val="32"/>
        </w:rPr>
        <w:t>2017</w:t>
      </w:r>
      <w:r>
        <w:rPr>
          <w:rFonts w:hint="eastAsia"/>
          <w:sz w:val="32"/>
          <w:szCs w:val="32"/>
        </w:rPr>
        <w:t>年度“三公”经费财政拨款支出决算中，因公出国（境）费支出决算</w:t>
      </w:r>
      <w:r>
        <w:rPr>
          <w:sz w:val="32"/>
          <w:szCs w:val="32"/>
        </w:rPr>
        <w:t>0</w:t>
      </w:r>
      <w:r>
        <w:rPr>
          <w:rFonts w:hint="eastAsia"/>
          <w:sz w:val="32"/>
          <w:szCs w:val="32"/>
        </w:rPr>
        <w:t>万元，完成预算的</w:t>
      </w:r>
      <w:r>
        <w:rPr>
          <w:sz w:val="32"/>
          <w:szCs w:val="32"/>
        </w:rPr>
        <w:t>0%</w:t>
      </w:r>
      <w:r>
        <w:rPr>
          <w:rFonts w:hint="eastAsia"/>
          <w:sz w:val="32"/>
          <w:szCs w:val="32"/>
        </w:rPr>
        <w:t>，占</w:t>
      </w:r>
      <w:r>
        <w:rPr>
          <w:sz w:val="32"/>
          <w:szCs w:val="32"/>
        </w:rPr>
        <w:t>0%</w:t>
      </w:r>
      <w:r>
        <w:rPr>
          <w:rFonts w:hint="eastAsia"/>
          <w:sz w:val="32"/>
          <w:szCs w:val="32"/>
        </w:rPr>
        <w:t>；公务用车购置及运行费支出决算</w:t>
      </w:r>
      <w:r>
        <w:rPr>
          <w:sz w:val="32"/>
          <w:szCs w:val="32"/>
        </w:rPr>
        <w:t>8.5</w:t>
      </w:r>
      <w:r>
        <w:rPr>
          <w:rFonts w:hint="eastAsia"/>
          <w:sz w:val="32"/>
          <w:szCs w:val="32"/>
        </w:rPr>
        <w:t>万元，完成预算的</w:t>
      </w:r>
      <w:r>
        <w:rPr>
          <w:sz w:val="32"/>
          <w:szCs w:val="32"/>
        </w:rPr>
        <w:t>95.9%</w:t>
      </w:r>
      <w:r>
        <w:rPr>
          <w:rFonts w:hint="eastAsia"/>
          <w:sz w:val="32"/>
          <w:szCs w:val="32"/>
        </w:rPr>
        <w:t>，占</w:t>
      </w:r>
      <w:r>
        <w:rPr>
          <w:sz w:val="32"/>
          <w:szCs w:val="32"/>
        </w:rPr>
        <w:t>76.85%</w:t>
      </w:r>
      <w:r>
        <w:rPr>
          <w:rFonts w:hint="eastAsia"/>
          <w:sz w:val="32"/>
          <w:szCs w:val="32"/>
        </w:rPr>
        <w:t>；公务接待费支出决算</w:t>
      </w:r>
      <w:r>
        <w:rPr>
          <w:sz w:val="32"/>
          <w:szCs w:val="32"/>
        </w:rPr>
        <w:t>1.77</w:t>
      </w:r>
      <w:r>
        <w:rPr>
          <w:rFonts w:hint="eastAsia"/>
          <w:sz w:val="32"/>
          <w:szCs w:val="32"/>
        </w:rPr>
        <w:t>万元，完成预算的</w:t>
      </w:r>
      <w:r>
        <w:rPr>
          <w:sz w:val="32"/>
          <w:szCs w:val="32"/>
        </w:rPr>
        <w:t>80.45%</w:t>
      </w:r>
      <w:r>
        <w:rPr>
          <w:rFonts w:hint="eastAsia"/>
          <w:sz w:val="32"/>
          <w:szCs w:val="32"/>
        </w:rPr>
        <w:t>，占</w:t>
      </w:r>
      <w:r>
        <w:rPr>
          <w:sz w:val="32"/>
          <w:szCs w:val="32"/>
        </w:rPr>
        <w:t>23.15%</w:t>
      </w:r>
      <w:r>
        <w:rPr>
          <w:rFonts w:hint="eastAsia"/>
          <w:sz w:val="32"/>
          <w:szCs w:val="32"/>
        </w:rPr>
        <w:t>。具体情况如下：</w:t>
      </w:r>
    </w:p>
    <w:p>
      <w:pPr>
        <w:widowControl/>
        <w:spacing w:line="590" w:lineRule="exact"/>
        <w:ind w:firstLine="640" w:firstLineChars="200"/>
        <w:rPr>
          <w:sz w:val="32"/>
          <w:szCs w:val="32"/>
        </w:rPr>
      </w:pPr>
      <w:r>
        <w:rPr>
          <w:sz w:val="32"/>
          <w:szCs w:val="32"/>
        </w:rPr>
        <w:t>1</w:t>
      </w:r>
      <w:r>
        <w:rPr>
          <w:rFonts w:hint="eastAsia"/>
          <w:sz w:val="32"/>
          <w:szCs w:val="32"/>
        </w:rPr>
        <w:t>．因公出国（境）费支出</w:t>
      </w:r>
      <w:r>
        <w:rPr>
          <w:sz w:val="32"/>
          <w:szCs w:val="32"/>
        </w:rPr>
        <w:t>0</w:t>
      </w:r>
      <w:r>
        <w:rPr>
          <w:rFonts w:hint="eastAsia"/>
          <w:sz w:val="32"/>
          <w:szCs w:val="32"/>
        </w:rPr>
        <w:t>万元。全年没有安排人员出国。</w:t>
      </w:r>
    </w:p>
    <w:p>
      <w:pPr>
        <w:widowControl/>
        <w:spacing w:line="590" w:lineRule="exact"/>
        <w:ind w:firstLine="640" w:firstLineChars="200"/>
        <w:rPr>
          <w:sz w:val="32"/>
          <w:szCs w:val="32"/>
        </w:rPr>
      </w:pPr>
      <w:r>
        <w:rPr>
          <w:sz w:val="32"/>
          <w:szCs w:val="32"/>
        </w:rPr>
        <w:t>2</w:t>
      </w:r>
      <w:r>
        <w:rPr>
          <w:rFonts w:hint="eastAsia"/>
          <w:sz w:val="32"/>
          <w:szCs w:val="32"/>
        </w:rPr>
        <w:t>．公务用车购置及运行费支出</w:t>
      </w:r>
      <w:r>
        <w:rPr>
          <w:sz w:val="32"/>
          <w:szCs w:val="32"/>
        </w:rPr>
        <w:t>8.5</w:t>
      </w:r>
      <w:r>
        <w:rPr>
          <w:rFonts w:hint="eastAsia"/>
          <w:sz w:val="32"/>
          <w:szCs w:val="32"/>
        </w:rPr>
        <w:t>万元。其中：</w:t>
      </w:r>
    </w:p>
    <w:p>
      <w:pPr>
        <w:widowControl/>
        <w:spacing w:line="590" w:lineRule="exact"/>
        <w:ind w:firstLine="640" w:firstLineChars="200"/>
        <w:rPr>
          <w:sz w:val="32"/>
          <w:szCs w:val="32"/>
        </w:rPr>
      </w:pPr>
      <w:r>
        <w:rPr>
          <w:rFonts w:hint="eastAsia"/>
          <w:sz w:val="32"/>
          <w:szCs w:val="32"/>
        </w:rPr>
        <w:t>公务用车购置支出为</w:t>
      </w:r>
      <w:r>
        <w:rPr>
          <w:sz w:val="32"/>
          <w:szCs w:val="32"/>
        </w:rPr>
        <w:t>0</w:t>
      </w:r>
      <w:r>
        <w:rPr>
          <w:rFonts w:hint="eastAsia"/>
          <w:sz w:val="32"/>
          <w:szCs w:val="32"/>
        </w:rPr>
        <w:t>万元，</w:t>
      </w:r>
    </w:p>
    <w:p>
      <w:pPr>
        <w:widowControl/>
        <w:spacing w:line="590" w:lineRule="exact"/>
        <w:ind w:firstLine="640" w:firstLineChars="200"/>
        <w:rPr>
          <w:sz w:val="32"/>
          <w:szCs w:val="32"/>
        </w:rPr>
      </w:pPr>
      <w:r>
        <w:rPr>
          <w:rFonts w:hint="eastAsia"/>
          <w:sz w:val="32"/>
          <w:szCs w:val="32"/>
        </w:rPr>
        <w:t>公务用车运行支出</w:t>
      </w:r>
      <w:r>
        <w:rPr>
          <w:sz w:val="32"/>
          <w:szCs w:val="32"/>
        </w:rPr>
        <w:t>8.5</w:t>
      </w:r>
      <w:r>
        <w:rPr>
          <w:rFonts w:hint="eastAsia"/>
          <w:sz w:val="32"/>
          <w:szCs w:val="32"/>
        </w:rPr>
        <w:t>万元。主要用于主要用于开展工作所需公务用车的燃料费、维修费、过路过桥费、保险费等支出。。</w:t>
      </w:r>
      <w:r>
        <w:rPr>
          <w:sz w:val="32"/>
          <w:szCs w:val="32"/>
        </w:rPr>
        <w:t>2017</w:t>
      </w:r>
      <w:r>
        <w:rPr>
          <w:rFonts w:hint="eastAsia"/>
          <w:sz w:val="32"/>
          <w:szCs w:val="32"/>
        </w:rPr>
        <w:t>年度期末，部门财政拨款公务用车保有量为</w:t>
      </w:r>
      <w:r>
        <w:rPr>
          <w:sz w:val="32"/>
          <w:szCs w:val="32"/>
        </w:rPr>
        <w:t>1</w:t>
      </w:r>
      <w:r>
        <w:rPr>
          <w:rFonts w:hint="eastAsia"/>
          <w:sz w:val="32"/>
          <w:szCs w:val="32"/>
        </w:rPr>
        <w:t>辆。</w:t>
      </w:r>
    </w:p>
    <w:p>
      <w:pPr>
        <w:widowControl/>
        <w:spacing w:line="590" w:lineRule="exact"/>
        <w:ind w:firstLine="640" w:firstLineChars="200"/>
        <w:rPr>
          <w:sz w:val="32"/>
          <w:szCs w:val="32"/>
        </w:rPr>
      </w:pPr>
      <w:r>
        <w:rPr>
          <w:sz w:val="32"/>
          <w:szCs w:val="32"/>
        </w:rPr>
        <w:t>3.</w:t>
      </w:r>
      <w:r>
        <w:rPr>
          <w:rFonts w:hint="eastAsia"/>
          <w:sz w:val="32"/>
          <w:szCs w:val="32"/>
        </w:rPr>
        <w:t>公务接待费支出</w:t>
      </w:r>
      <w:r>
        <w:rPr>
          <w:sz w:val="32"/>
          <w:szCs w:val="32"/>
        </w:rPr>
        <w:t>1.77</w:t>
      </w:r>
      <w:r>
        <w:rPr>
          <w:rFonts w:hint="eastAsia"/>
          <w:sz w:val="32"/>
          <w:szCs w:val="32"/>
        </w:rPr>
        <w:t>万元。其中：</w:t>
      </w:r>
    </w:p>
    <w:p>
      <w:pPr>
        <w:widowControl/>
        <w:spacing w:line="590" w:lineRule="exact"/>
        <w:ind w:firstLine="640" w:firstLineChars="200"/>
        <w:rPr>
          <w:sz w:val="32"/>
          <w:szCs w:val="32"/>
        </w:rPr>
      </w:pPr>
      <w:r>
        <w:rPr>
          <w:rFonts w:hint="eastAsia"/>
          <w:sz w:val="32"/>
          <w:szCs w:val="32"/>
        </w:rPr>
        <w:t>其他国内公务接待支出</w:t>
      </w:r>
      <w:r>
        <w:rPr>
          <w:sz w:val="32"/>
          <w:szCs w:val="32"/>
        </w:rPr>
        <w:t>1.77</w:t>
      </w:r>
      <w:r>
        <w:rPr>
          <w:rFonts w:hint="eastAsia"/>
          <w:sz w:val="32"/>
          <w:szCs w:val="32"/>
        </w:rPr>
        <w:t>万元。主要用于接待上级单位督察、检查。</w:t>
      </w:r>
    </w:p>
    <w:p>
      <w:pPr>
        <w:widowControl/>
        <w:spacing w:line="590" w:lineRule="exact"/>
        <w:ind w:firstLine="640" w:firstLineChars="200"/>
        <w:rPr>
          <w:sz w:val="32"/>
          <w:szCs w:val="32"/>
        </w:rPr>
      </w:pPr>
      <w:r>
        <w:rPr>
          <w:rFonts w:hint="eastAsia"/>
          <w:sz w:val="32"/>
          <w:szCs w:val="32"/>
        </w:rPr>
        <w:t>公务接待费支出决算比</w:t>
      </w:r>
      <w:r>
        <w:rPr>
          <w:sz w:val="32"/>
          <w:szCs w:val="32"/>
        </w:rPr>
        <w:t>2016</w:t>
      </w:r>
      <w:r>
        <w:rPr>
          <w:rFonts w:hint="eastAsia"/>
          <w:sz w:val="32"/>
          <w:szCs w:val="32"/>
        </w:rPr>
        <w:t>年度减少</w:t>
      </w:r>
      <w:r>
        <w:rPr>
          <w:sz w:val="32"/>
          <w:szCs w:val="32"/>
        </w:rPr>
        <w:t>0.7</w:t>
      </w:r>
      <w:r>
        <w:rPr>
          <w:rFonts w:hint="eastAsia"/>
          <w:sz w:val="32"/>
          <w:szCs w:val="32"/>
        </w:rPr>
        <w:t>万元，下降</w:t>
      </w:r>
      <w:r>
        <w:rPr>
          <w:sz w:val="32"/>
          <w:szCs w:val="32"/>
        </w:rPr>
        <w:t>28%,</w:t>
      </w:r>
      <w:r>
        <w:rPr>
          <w:rFonts w:hint="eastAsia"/>
          <w:sz w:val="32"/>
          <w:szCs w:val="32"/>
        </w:rPr>
        <w:t>主要原因是严格执行公务接待管理规定。</w:t>
      </w:r>
    </w:p>
    <w:p>
      <w:pPr>
        <w:widowControl/>
        <w:spacing w:line="590" w:lineRule="exact"/>
        <w:ind w:firstLine="640" w:firstLineChars="200"/>
        <w:rPr>
          <w:sz w:val="32"/>
          <w:szCs w:val="32"/>
        </w:rPr>
      </w:pPr>
      <w:r>
        <w:rPr>
          <w:rFonts w:hint="eastAsia"/>
          <w:sz w:val="32"/>
          <w:szCs w:val="32"/>
        </w:rPr>
        <w:t>水利局</w:t>
      </w:r>
      <w:r>
        <w:rPr>
          <w:sz w:val="32"/>
          <w:szCs w:val="32"/>
        </w:rPr>
        <w:t>2017</w:t>
      </w:r>
      <w:r>
        <w:rPr>
          <w:rFonts w:hint="eastAsia"/>
          <w:sz w:val="32"/>
          <w:szCs w:val="32"/>
        </w:rPr>
        <w:t>年度共接待国内来访</w:t>
      </w:r>
      <w:r>
        <w:rPr>
          <w:sz w:val="32"/>
          <w:szCs w:val="32"/>
        </w:rPr>
        <w:t>32</w:t>
      </w:r>
      <w:r>
        <w:rPr>
          <w:rFonts w:hint="eastAsia"/>
          <w:sz w:val="32"/>
          <w:szCs w:val="32"/>
        </w:rPr>
        <w:t>批次、来访人员</w:t>
      </w:r>
      <w:r>
        <w:rPr>
          <w:sz w:val="32"/>
          <w:szCs w:val="32"/>
        </w:rPr>
        <w:t>346</w:t>
      </w:r>
      <w:r>
        <w:rPr>
          <w:rFonts w:hint="eastAsia"/>
          <w:sz w:val="32"/>
          <w:szCs w:val="32"/>
        </w:rPr>
        <w:t>人次（不包括陪同人员）。</w:t>
      </w:r>
    </w:p>
    <w:p>
      <w:pPr>
        <w:pStyle w:val="2"/>
        <w:spacing w:before="2" w:line="520" w:lineRule="exact"/>
        <w:ind w:right="270" w:firstLine="720" w:firstLineChars="225"/>
        <w:jc w:val="both"/>
        <w:rPr>
          <w:rFonts w:ascii="黑体" w:hAnsi="黑体" w:eastAsia="黑体"/>
          <w:color w:val="FF0000"/>
          <w:lang w:val="en-US"/>
        </w:rPr>
      </w:pPr>
      <w:r>
        <w:rPr>
          <w:rFonts w:hint="eastAsia" w:ascii="黑体" w:hAnsi="黑体" w:eastAsia="黑体"/>
          <w:color w:val="FF0000"/>
          <w:lang w:val="en-US"/>
        </w:rPr>
        <w:t>八、</w:t>
      </w:r>
      <w:r>
        <w:rPr>
          <w:rFonts w:hint="eastAsia" w:ascii="黑体" w:hAnsi="黑体" w:eastAsia="黑体"/>
          <w:color w:val="FF0000"/>
          <w:lang w:val="en-US" w:eastAsia="zh-CN"/>
        </w:rPr>
        <w:t>重点绩效评价结果等</w:t>
      </w:r>
      <w:r>
        <w:rPr>
          <w:rFonts w:hint="eastAsia" w:ascii="黑体" w:hAnsi="黑体" w:eastAsia="黑体"/>
          <w:color w:val="FF0000"/>
          <w:lang w:val="en-US"/>
        </w:rPr>
        <w:t>预算绩效情况说明</w:t>
      </w:r>
      <w:r>
        <w:rPr>
          <w:rFonts w:ascii="黑体" w:hAnsi="黑体" w:eastAsia="黑体"/>
          <w:color w:val="FF0000"/>
          <w:lang w:val="en-US"/>
        </w:rPr>
        <w:t xml:space="preserve"> </w:t>
      </w:r>
    </w:p>
    <w:p>
      <w:pPr>
        <w:widowControl/>
        <w:spacing w:line="590" w:lineRule="exact"/>
        <w:ind w:firstLine="640" w:firstLineChars="200"/>
        <w:rPr>
          <w:rFonts w:ascii="楷体_GB2312" w:hAnsi="楷体_GB2312" w:eastAsia="楷体_GB2312" w:cs="楷体_GB2312"/>
          <w:sz w:val="32"/>
          <w:szCs w:val="32"/>
        </w:rPr>
      </w:pPr>
      <w:bookmarkStart w:id="0" w:name="_GoBack"/>
      <w:bookmarkEnd w:id="0"/>
      <w:r>
        <w:rPr>
          <w:rFonts w:hint="eastAsia" w:ascii="楷体_GB2312" w:hAnsi="楷体_GB2312" w:eastAsia="楷体_GB2312" w:cs="楷体_GB2312"/>
          <w:sz w:val="32"/>
          <w:szCs w:val="32"/>
        </w:rPr>
        <w:t>（一）绩效管理工作开展情况。</w:t>
      </w:r>
    </w:p>
    <w:p>
      <w:pPr>
        <w:widowControl/>
        <w:spacing w:line="590" w:lineRule="exact"/>
        <w:ind w:firstLine="640" w:firstLineChars="200"/>
        <w:rPr>
          <w:sz w:val="32"/>
          <w:szCs w:val="32"/>
        </w:rPr>
      </w:pPr>
      <w:r>
        <w:rPr>
          <w:sz w:val="32"/>
          <w:szCs w:val="32"/>
        </w:rPr>
        <w:t>2017</w:t>
      </w:r>
      <w:r>
        <w:rPr>
          <w:rFonts w:hint="eastAsia"/>
          <w:sz w:val="32"/>
          <w:szCs w:val="32"/>
        </w:rPr>
        <w:t>年，水利局严格预算开支，建立有效的财务支出约束机制，加强办公费、印刷费、公务接待、车辆等单项管理制度。做到有章可循，照章办事，以堵塞漏洞，节约资金，防止资金支出中的跑、冒、滴、漏，最大限度地提高资金的使用效益。</w:t>
      </w:r>
    </w:p>
    <w:p>
      <w:pPr>
        <w:widowControl/>
        <w:spacing w:line="59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（二）项目绩效自评结果。</w:t>
      </w:r>
    </w:p>
    <w:p>
      <w:pPr>
        <w:widowControl/>
        <w:spacing w:line="590" w:lineRule="exact"/>
        <w:ind w:firstLine="640" w:firstLineChars="200"/>
        <w:rPr>
          <w:sz w:val="32"/>
          <w:szCs w:val="32"/>
        </w:rPr>
      </w:pPr>
      <w:r>
        <w:rPr>
          <w:sz w:val="32"/>
          <w:szCs w:val="32"/>
        </w:rPr>
        <w:t>2017</w:t>
      </w:r>
      <w:r>
        <w:rPr>
          <w:rFonts w:hint="eastAsia"/>
          <w:sz w:val="32"/>
          <w:szCs w:val="32"/>
        </w:rPr>
        <w:t>年水利局项目工作主要开展了农村安全饮水</w:t>
      </w:r>
      <w:r>
        <w:rPr>
          <w:rFonts w:hint="eastAsia"/>
          <w:sz w:val="32"/>
          <w:szCs w:val="32"/>
          <w:lang w:eastAsia="zh-CN"/>
        </w:rPr>
        <w:t>和公共提升</w:t>
      </w:r>
      <w:r>
        <w:rPr>
          <w:rFonts w:hint="eastAsia"/>
          <w:sz w:val="32"/>
          <w:szCs w:val="32"/>
        </w:rPr>
        <w:t>项目</w:t>
      </w:r>
      <w:r>
        <w:rPr>
          <w:rFonts w:hint="eastAsia"/>
          <w:sz w:val="32"/>
          <w:szCs w:val="32"/>
          <w:lang w:eastAsia="zh-CN"/>
        </w:rPr>
        <w:t>。</w:t>
      </w:r>
      <w:r>
        <w:rPr>
          <w:rFonts w:hint="eastAsia"/>
          <w:bCs/>
          <w:color w:val="333333"/>
          <w:sz w:val="32"/>
          <w:szCs w:val="32"/>
        </w:rPr>
        <w:t>解决了</w:t>
      </w:r>
      <w:r>
        <w:rPr>
          <w:rFonts w:hint="eastAsia"/>
          <w:sz w:val="32"/>
          <w:szCs w:val="32"/>
          <w:lang w:eastAsia="zh-CN"/>
        </w:rPr>
        <w:t>大连</w:t>
      </w:r>
      <w:r>
        <w:rPr>
          <w:rFonts w:hint="eastAsia"/>
          <w:sz w:val="32"/>
          <w:szCs w:val="32"/>
        </w:rPr>
        <w:t>，</w:t>
      </w:r>
      <w:r>
        <w:rPr>
          <w:rFonts w:hint="eastAsia"/>
          <w:sz w:val="32"/>
          <w:szCs w:val="32"/>
          <w:lang w:eastAsia="zh-CN"/>
        </w:rPr>
        <w:t>葛店乡，齐老，冯塘，鲁台，临蔡，四通镇</w:t>
      </w:r>
      <w:r>
        <w:rPr>
          <w:rFonts w:hint="eastAsia"/>
          <w:sz w:val="32"/>
          <w:szCs w:val="32"/>
        </w:rPr>
        <w:t>等</w:t>
      </w:r>
      <w:r>
        <w:rPr>
          <w:rFonts w:hint="eastAsia"/>
          <w:sz w:val="32"/>
          <w:szCs w:val="32"/>
          <w:lang w:val="en-US" w:eastAsia="zh-CN"/>
        </w:rPr>
        <w:t>7</w:t>
      </w:r>
      <w:r>
        <w:rPr>
          <w:rFonts w:hint="eastAsia"/>
          <w:sz w:val="32"/>
          <w:szCs w:val="32"/>
        </w:rPr>
        <w:t>个乡镇</w:t>
      </w:r>
      <w:r>
        <w:rPr>
          <w:rFonts w:hint="eastAsia"/>
          <w:sz w:val="32"/>
          <w:szCs w:val="32"/>
          <w:lang w:val="en-US" w:eastAsia="zh-CN"/>
        </w:rPr>
        <w:t>13</w:t>
      </w:r>
      <w:r>
        <w:rPr>
          <w:rFonts w:hint="eastAsia"/>
          <w:sz w:val="32"/>
          <w:szCs w:val="32"/>
        </w:rPr>
        <w:t>个贫困村</w:t>
      </w:r>
      <w:r>
        <w:rPr>
          <w:rFonts w:hint="eastAsia"/>
          <w:sz w:val="32"/>
          <w:szCs w:val="32"/>
          <w:lang w:val="en-US" w:eastAsia="zh-CN"/>
        </w:rPr>
        <w:t>3.2923</w:t>
      </w:r>
      <w:r>
        <w:rPr>
          <w:rFonts w:hint="eastAsia"/>
          <w:sz w:val="32"/>
          <w:szCs w:val="32"/>
        </w:rPr>
        <w:t>万人的饮水问题，</w:t>
      </w:r>
      <w:r>
        <w:rPr>
          <w:rFonts w:hint="eastAsia"/>
          <w:sz w:val="32"/>
          <w:szCs w:val="32"/>
          <w:lang w:eastAsia="zh-CN"/>
        </w:rPr>
        <w:t>建设水厂</w:t>
      </w:r>
      <w:r>
        <w:rPr>
          <w:rFonts w:hint="eastAsia"/>
          <w:sz w:val="32"/>
          <w:szCs w:val="32"/>
          <w:lang w:val="en-US" w:eastAsia="zh-CN"/>
        </w:rPr>
        <w:t>7座，铺设管道49.98万米</w:t>
      </w:r>
      <w:r>
        <w:rPr>
          <w:rFonts w:hint="eastAsia"/>
          <w:sz w:val="32"/>
          <w:szCs w:val="32"/>
        </w:rPr>
        <w:t>。</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九、政府性基金预算财政拨款支出决算情况说明</w:t>
      </w:r>
      <w:r>
        <w:rPr>
          <w:rFonts w:ascii="黑体" w:hAnsi="黑体" w:eastAsia="黑体"/>
          <w:lang w:val="en-US"/>
        </w:rPr>
        <w:t xml:space="preserve"> </w:t>
      </w:r>
    </w:p>
    <w:p>
      <w:pPr>
        <w:pStyle w:val="2"/>
        <w:spacing w:before="2" w:line="520" w:lineRule="exact"/>
        <w:ind w:right="270" w:firstLine="720" w:firstLineChars="225"/>
        <w:jc w:val="both"/>
        <w:rPr>
          <w:lang w:val="en-US"/>
        </w:rPr>
      </w:pPr>
      <w:r>
        <w:rPr>
          <w:lang w:val="en-US"/>
        </w:rPr>
        <w:t>2017</w:t>
      </w:r>
      <w:r>
        <w:rPr>
          <w:rFonts w:hint="eastAsia"/>
          <w:lang w:val="en-US"/>
        </w:rPr>
        <w:t>年度政府性基金财政拨款支出</w:t>
      </w:r>
      <w:r>
        <w:rPr>
          <w:lang w:val="en-US"/>
        </w:rPr>
        <w:t>4.68</w:t>
      </w:r>
      <w:r>
        <w:rPr>
          <w:rFonts w:hint="eastAsia"/>
          <w:lang w:val="en-US"/>
        </w:rPr>
        <w:t>万元。用于大中型水库移民后期扶持移民补助支出。</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十、机关运行经费支出情况说明</w:t>
      </w:r>
      <w:r>
        <w:rPr>
          <w:rFonts w:ascii="黑体" w:hAnsi="黑体" w:eastAsia="黑体"/>
          <w:lang w:val="en-US"/>
        </w:rPr>
        <w:t xml:space="preserve"> </w:t>
      </w:r>
    </w:p>
    <w:p>
      <w:pPr>
        <w:widowControl/>
        <w:spacing w:line="590" w:lineRule="exact"/>
        <w:ind w:firstLine="640" w:firstLineChars="200"/>
        <w:rPr>
          <w:sz w:val="32"/>
          <w:szCs w:val="32"/>
        </w:rPr>
      </w:pPr>
      <w:r>
        <w:rPr>
          <w:sz w:val="32"/>
          <w:szCs w:val="32"/>
        </w:rPr>
        <w:t>2017</w:t>
      </w:r>
      <w:r>
        <w:rPr>
          <w:rFonts w:hint="eastAsia"/>
          <w:sz w:val="32"/>
          <w:szCs w:val="32"/>
        </w:rPr>
        <w:t>年度机关运行经费支出</w:t>
      </w:r>
      <w:r>
        <w:rPr>
          <w:sz w:val="32"/>
          <w:szCs w:val="32"/>
        </w:rPr>
        <w:t>332.84</w:t>
      </w:r>
      <w:r>
        <w:rPr>
          <w:rFonts w:hint="eastAsia"/>
          <w:sz w:val="32"/>
          <w:szCs w:val="32"/>
        </w:rPr>
        <w:t>万元，较</w:t>
      </w:r>
      <w:r>
        <w:rPr>
          <w:sz w:val="32"/>
          <w:szCs w:val="32"/>
        </w:rPr>
        <w:t>2016</w:t>
      </w:r>
      <w:r>
        <w:rPr>
          <w:rFonts w:hint="eastAsia"/>
          <w:sz w:val="32"/>
          <w:szCs w:val="32"/>
        </w:rPr>
        <w:t>年度增加</w:t>
      </w:r>
      <w:r>
        <w:rPr>
          <w:sz w:val="32"/>
          <w:szCs w:val="32"/>
        </w:rPr>
        <w:t>47.62</w:t>
      </w:r>
      <w:r>
        <w:rPr>
          <w:rFonts w:hint="eastAsia"/>
          <w:sz w:val="32"/>
          <w:szCs w:val="32"/>
        </w:rPr>
        <w:t>万元，增长</w:t>
      </w:r>
      <w:r>
        <w:rPr>
          <w:sz w:val="32"/>
          <w:szCs w:val="32"/>
        </w:rPr>
        <w:t>14.3%</w:t>
      </w:r>
      <w:r>
        <w:rPr>
          <w:rFonts w:hint="eastAsia"/>
          <w:sz w:val="32"/>
          <w:szCs w:val="32"/>
        </w:rPr>
        <w:t>。增加的主要原因是：维修费、劳务费有所增加。</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十一、政府采购支出情况说明</w:t>
      </w:r>
      <w:r>
        <w:rPr>
          <w:rFonts w:ascii="黑体" w:hAnsi="黑体" w:eastAsia="黑体"/>
          <w:lang w:val="en-US"/>
        </w:rPr>
        <w:t xml:space="preserve"> </w:t>
      </w:r>
    </w:p>
    <w:p>
      <w:pPr>
        <w:pStyle w:val="2"/>
        <w:spacing w:before="2" w:line="520" w:lineRule="exact"/>
        <w:ind w:right="270" w:firstLine="720" w:firstLineChars="225"/>
        <w:jc w:val="both"/>
        <w:rPr>
          <w:lang w:val="en-US"/>
        </w:rPr>
      </w:pPr>
      <w:r>
        <w:t>2017</w:t>
      </w:r>
      <w:r>
        <w:rPr>
          <w:rFonts w:hint="eastAsia"/>
        </w:rPr>
        <w:t>年度政府采购支出总额</w:t>
      </w:r>
      <w:r>
        <w:t>1761.31</w:t>
      </w:r>
      <w:r>
        <w:rPr>
          <w:rFonts w:hint="eastAsia"/>
        </w:rPr>
        <w:t>万元，其中：政府采购工程支出</w:t>
      </w:r>
      <w:r>
        <w:t>1761.31</w:t>
      </w:r>
      <w:r>
        <w:rPr>
          <w:rFonts w:hint="eastAsia"/>
        </w:rPr>
        <w:t>万元。占政府采购支出总额度</w:t>
      </w:r>
      <w:r>
        <w:t>100%</w:t>
      </w:r>
      <w:r>
        <w:rPr>
          <w:rFonts w:hint="eastAsia"/>
        </w:rPr>
        <w:t>。</w:t>
      </w:r>
      <w:r>
        <w:rPr>
          <w:lang w:val="en-US"/>
        </w:rPr>
        <w:t xml:space="preserve"> </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十二、国有资产占用情况说明</w:t>
      </w:r>
      <w:r>
        <w:rPr>
          <w:rFonts w:ascii="黑体" w:hAnsi="黑体" w:eastAsia="黑体"/>
          <w:lang w:val="en-US"/>
        </w:rPr>
        <w:t xml:space="preserve"> </w:t>
      </w:r>
    </w:p>
    <w:p>
      <w:pPr>
        <w:widowControl/>
        <w:spacing w:line="590" w:lineRule="exact"/>
        <w:ind w:firstLine="640" w:firstLineChars="200"/>
        <w:rPr>
          <w:sz w:val="32"/>
          <w:szCs w:val="32"/>
        </w:rPr>
      </w:pPr>
      <w:r>
        <w:rPr>
          <w:sz w:val="32"/>
          <w:szCs w:val="32"/>
        </w:rPr>
        <w:t>2017</w:t>
      </w:r>
      <w:r>
        <w:rPr>
          <w:rFonts w:hint="eastAsia"/>
          <w:sz w:val="32"/>
          <w:szCs w:val="32"/>
        </w:rPr>
        <w:t>年期末，水利局共有车辆</w:t>
      </w:r>
      <w:r>
        <w:rPr>
          <w:sz w:val="32"/>
          <w:szCs w:val="32"/>
        </w:rPr>
        <w:t>1</w:t>
      </w:r>
      <w:r>
        <w:rPr>
          <w:rFonts w:hint="eastAsia"/>
          <w:sz w:val="32"/>
          <w:szCs w:val="32"/>
        </w:rPr>
        <w:t>辆，其中：一般公务用车</w:t>
      </w:r>
      <w:r>
        <w:rPr>
          <w:sz w:val="32"/>
          <w:szCs w:val="32"/>
        </w:rPr>
        <w:t>1</w:t>
      </w:r>
      <w:r>
        <w:rPr>
          <w:rFonts w:hint="eastAsia"/>
          <w:sz w:val="32"/>
          <w:szCs w:val="32"/>
        </w:rPr>
        <w:t>辆；单位价值</w:t>
      </w:r>
      <w:r>
        <w:rPr>
          <w:sz w:val="32"/>
          <w:szCs w:val="32"/>
        </w:rPr>
        <w:t>50</w:t>
      </w:r>
      <w:r>
        <w:rPr>
          <w:rFonts w:hint="eastAsia"/>
          <w:sz w:val="32"/>
          <w:szCs w:val="32"/>
        </w:rPr>
        <w:t>万元以上通用设备</w:t>
      </w:r>
      <w:r>
        <w:rPr>
          <w:sz w:val="32"/>
          <w:szCs w:val="32"/>
        </w:rPr>
        <w:t>0</w:t>
      </w:r>
      <w:r>
        <w:rPr>
          <w:rFonts w:hint="eastAsia"/>
          <w:sz w:val="32"/>
          <w:szCs w:val="32"/>
        </w:rPr>
        <w:t>台（套），单位价值</w:t>
      </w:r>
      <w:r>
        <w:rPr>
          <w:sz w:val="32"/>
          <w:szCs w:val="32"/>
        </w:rPr>
        <w:t>100</w:t>
      </w:r>
      <w:r>
        <w:rPr>
          <w:rFonts w:hint="eastAsia"/>
          <w:sz w:val="32"/>
          <w:szCs w:val="32"/>
        </w:rPr>
        <w:t>万元以上专用设备</w:t>
      </w:r>
      <w:r>
        <w:rPr>
          <w:sz w:val="32"/>
          <w:szCs w:val="32"/>
        </w:rPr>
        <w:t>0</w:t>
      </w:r>
      <w:r>
        <w:rPr>
          <w:rFonts w:hint="eastAsia"/>
          <w:sz w:val="32"/>
          <w:szCs w:val="32"/>
        </w:rPr>
        <w:t>台（套）。</w:t>
      </w:r>
    </w:p>
    <w:p>
      <w:pPr>
        <w:pStyle w:val="2"/>
        <w:spacing w:before="2" w:line="520" w:lineRule="exact"/>
        <w:ind w:right="270" w:firstLine="720" w:firstLineChars="225"/>
        <w:jc w:val="both"/>
        <w:rPr>
          <w:lang w:val="en-US"/>
        </w:rPr>
      </w:pPr>
      <w:r>
        <w:rPr>
          <w:lang w:val="en-US"/>
        </w:rPr>
        <w:t xml:space="preserve"> </w:t>
      </w: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both"/>
        <w:rPr>
          <w:rFonts w:ascii="黑体" w:eastAsia="黑体"/>
          <w:sz w:val="48"/>
        </w:rPr>
      </w:pPr>
    </w:p>
    <w:p>
      <w:pPr>
        <w:tabs>
          <w:tab w:val="left" w:pos="3993"/>
        </w:tabs>
        <w:spacing w:before="32" w:line="520" w:lineRule="exact"/>
        <w:ind w:firstLine="1080" w:firstLineChars="225"/>
        <w:jc w:val="center"/>
        <w:rPr>
          <w:rFonts w:ascii="黑体" w:eastAsia="黑体"/>
          <w:sz w:val="48"/>
        </w:rPr>
      </w:pPr>
      <w:r>
        <w:rPr>
          <w:rFonts w:hint="eastAsia" w:ascii="黑体" w:eastAsia="黑体"/>
          <w:sz w:val="48"/>
        </w:rPr>
        <w:t>第四部分</w:t>
      </w:r>
      <w:r>
        <w:rPr>
          <w:rFonts w:ascii="黑体" w:eastAsia="黑体"/>
          <w:sz w:val="48"/>
        </w:rPr>
        <w:t xml:space="preserve"> </w:t>
      </w:r>
      <w:r>
        <w:rPr>
          <w:rFonts w:hint="eastAsia" w:ascii="黑体" w:eastAsia="黑体"/>
          <w:sz w:val="48"/>
        </w:rPr>
        <w:t>名词解释</w:t>
      </w:r>
    </w:p>
    <w:p>
      <w:pPr>
        <w:widowControl/>
        <w:spacing w:line="590" w:lineRule="exact"/>
        <w:ind w:firstLine="640" w:firstLineChars="200"/>
        <w:rPr>
          <w:sz w:val="32"/>
          <w:szCs w:val="32"/>
        </w:rPr>
      </w:pPr>
      <w:r>
        <w:rPr>
          <w:rFonts w:hint="eastAsia"/>
          <w:sz w:val="32"/>
          <w:szCs w:val="32"/>
        </w:rPr>
        <w:t>一、财政拨款收入：单位从同级政府财政部门取得的各类财政拨款。</w:t>
      </w:r>
    </w:p>
    <w:p>
      <w:pPr>
        <w:widowControl/>
        <w:spacing w:line="590" w:lineRule="exact"/>
        <w:ind w:firstLine="640" w:firstLineChars="200"/>
        <w:rPr>
          <w:sz w:val="32"/>
          <w:szCs w:val="32"/>
        </w:rPr>
      </w:pPr>
      <w:r>
        <w:rPr>
          <w:rFonts w:hint="eastAsia"/>
          <w:sz w:val="32"/>
          <w:szCs w:val="32"/>
        </w:rPr>
        <w:t>二、事业收入：事业单位开展专业业务活动及其辅助活动取得的收入。</w:t>
      </w:r>
    </w:p>
    <w:p>
      <w:pPr>
        <w:widowControl/>
        <w:spacing w:line="590" w:lineRule="exact"/>
        <w:ind w:firstLine="640" w:firstLineChars="200"/>
        <w:rPr>
          <w:sz w:val="32"/>
          <w:szCs w:val="32"/>
        </w:rPr>
      </w:pPr>
      <w:r>
        <w:rPr>
          <w:rFonts w:hint="eastAsia"/>
          <w:sz w:val="32"/>
          <w:szCs w:val="32"/>
        </w:rPr>
        <w:t>三、上级补助收入：事业单位从主管部门和上级单位取得的非财政补助收入。</w:t>
      </w:r>
    </w:p>
    <w:p>
      <w:pPr>
        <w:widowControl/>
        <w:spacing w:line="590" w:lineRule="exact"/>
        <w:ind w:firstLine="640" w:firstLineChars="200"/>
        <w:rPr>
          <w:sz w:val="32"/>
          <w:szCs w:val="32"/>
        </w:rPr>
      </w:pPr>
      <w:r>
        <w:rPr>
          <w:rFonts w:hint="eastAsia"/>
          <w:sz w:val="32"/>
          <w:szCs w:val="32"/>
        </w:rPr>
        <w:t>四、附属单位上缴收入：事业单位取得附属独立核算单位根据有关规定上缴的收入。</w:t>
      </w:r>
    </w:p>
    <w:p>
      <w:pPr>
        <w:widowControl/>
        <w:spacing w:line="590" w:lineRule="exact"/>
        <w:ind w:firstLine="640" w:firstLineChars="200"/>
        <w:rPr>
          <w:sz w:val="32"/>
          <w:szCs w:val="32"/>
        </w:rPr>
      </w:pPr>
      <w:r>
        <w:rPr>
          <w:rFonts w:hint="eastAsia"/>
          <w:sz w:val="32"/>
          <w:szCs w:val="32"/>
        </w:rPr>
        <w:t>五、经营收入：事业单位在专业业务活动及其辅助活动之外开展非独立核算经营活动取得的收入。</w:t>
      </w:r>
    </w:p>
    <w:p>
      <w:pPr>
        <w:widowControl/>
        <w:spacing w:line="590" w:lineRule="exact"/>
        <w:ind w:firstLine="640" w:firstLineChars="200"/>
        <w:rPr>
          <w:sz w:val="32"/>
          <w:szCs w:val="32"/>
        </w:rPr>
      </w:pPr>
      <w:r>
        <w:rPr>
          <w:rFonts w:hint="eastAsia"/>
          <w:sz w:val="32"/>
          <w:szCs w:val="32"/>
        </w:rPr>
        <w:t>六、其他收入：单位取得的除“财政拨款收入”、“事业收入”、“上级补助收入”、“附属单位上缴收入”、“经营收入”等以外的收入。</w:t>
      </w:r>
    </w:p>
    <w:p>
      <w:pPr>
        <w:widowControl/>
        <w:spacing w:line="590" w:lineRule="exact"/>
        <w:ind w:firstLine="640" w:firstLineChars="200"/>
        <w:rPr>
          <w:sz w:val="32"/>
          <w:szCs w:val="32"/>
        </w:rPr>
      </w:pPr>
      <w:r>
        <w:rPr>
          <w:rFonts w:hint="eastAsia"/>
          <w:sz w:val="32"/>
          <w:szCs w:val="32"/>
        </w:rPr>
        <w:t>七、用事业基金弥补收支差额：事业单位在当年收入不足以安排当年支出的情况下，使用以前年度积累的事业基金（事业单位当年收支相抵后按国家规定提取、用于弥补以后年度收支差额的基金）弥补当年收支缺口的资金。</w:t>
      </w:r>
    </w:p>
    <w:p>
      <w:pPr>
        <w:widowControl/>
        <w:spacing w:line="590" w:lineRule="exact"/>
        <w:ind w:firstLine="640" w:firstLineChars="200"/>
        <w:rPr>
          <w:sz w:val="32"/>
          <w:szCs w:val="32"/>
        </w:rPr>
      </w:pPr>
      <w:r>
        <w:rPr>
          <w:rFonts w:hint="eastAsia"/>
          <w:sz w:val="32"/>
          <w:szCs w:val="32"/>
        </w:rPr>
        <w:t>八、基本支出：为保障机构正常运转、完成日常工作任务而发生的人员支出和公用支出。</w:t>
      </w:r>
    </w:p>
    <w:p>
      <w:pPr>
        <w:widowControl/>
        <w:spacing w:line="590" w:lineRule="exact"/>
        <w:ind w:firstLine="640" w:firstLineChars="200"/>
        <w:rPr>
          <w:sz w:val="32"/>
          <w:szCs w:val="32"/>
        </w:rPr>
      </w:pPr>
      <w:r>
        <w:rPr>
          <w:rFonts w:hint="eastAsia"/>
          <w:sz w:val="32"/>
          <w:szCs w:val="32"/>
        </w:rPr>
        <w:t>九、项目支出：基本支出之外为完成特定行政任务和事业发展目标所发生的支出。</w:t>
      </w:r>
    </w:p>
    <w:p>
      <w:pPr>
        <w:widowControl/>
        <w:spacing w:line="590" w:lineRule="exact"/>
        <w:ind w:firstLine="640" w:firstLineChars="200"/>
        <w:rPr>
          <w:sz w:val="32"/>
          <w:szCs w:val="32"/>
        </w:rPr>
      </w:pPr>
      <w:r>
        <w:rPr>
          <w:rFonts w:hint="eastAsia"/>
          <w:sz w:val="32"/>
          <w:szCs w:val="32"/>
        </w:rPr>
        <w:t>十、“三公”经费：纳入同级财政预决算管理“三公”经费，指部门使用财政拨款安排的因公出国（境）费、公务用车购置及运行费和公务接待费。其中，因公出国（境）费反映单位公务出国（境）的国际旅费、国外城市间交通费、住宿费、伙食费、培训费、公杂费等支出；公务用车购置及运行费反映反映单位公务用车车辆购置支出（含车辆购置税）及租用费、燃料费、维修费、过路过桥费、保险费、安全奖励费用等支出；公务接待费反映单位按规定开支的各类公务接待（含外宾接待）支出。</w:t>
      </w:r>
    </w:p>
    <w:p>
      <w:pPr>
        <w:widowControl/>
        <w:spacing w:line="590" w:lineRule="exact"/>
        <w:ind w:firstLine="640" w:firstLineChars="200"/>
        <w:rPr>
          <w:sz w:val="32"/>
          <w:szCs w:val="32"/>
        </w:rPr>
      </w:pPr>
      <w:r>
        <w:rPr>
          <w:rFonts w:hint="eastAsia"/>
          <w:sz w:val="32"/>
          <w:szCs w:val="32"/>
        </w:rPr>
        <w:t>十一、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widowControl/>
        <w:spacing w:line="590" w:lineRule="exact"/>
        <w:ind w:firstLine="640" w:firstLineChars="200"/>
        <w:rPr>
          <w:sz w:val="32"/>
          <w:szCs w:val="32"/>
        </w:rPr>
      </w:pPr>
      <w:r>
        <w:rPr>
          <w:rFonts w:hint="eastAsia"/>
          <w:sz w:val="32"/>
          <w:szCs w:val="32"/>
        </w:rPr>
        <w:t>十二、工资福利支出：单位支付给在职职工和编制外长期聘用人员的各类劳动报酬，以及为上述人员缴纳的各项社会保险费等。</w:t>
      </w:r>
    </w:p>
    <w:p>
      <w:pPr>
        <w:widowControl/>
        <w:spacing w:line="590" w:lineRule="exact"/>
        <w:ind w:firstLine="640" w:firstLineChars="200"/>
        <w:rPr>
          <w:sz w:val="32"/>
          <w:szCs w:val="32"/>
        </w:rPr>
      </w:pPr>
      <w:r>
        <w:rPr>
          <w:rFonts w:hint="eastAsia"/>
          <w:sz w:val="32"/>
          <w:szCs w:val="32"/>
        </w:rPr>
        <w:t>十三、商品和服务支出：单位购买商品和服务的支出。</w:t>
      </w:r>
    </w:p>
    <w:p>
      <w:pPr>
        <w:widowControl/>
        <w:spacing w:line="590" w:lineRule="exact"/>
        <w:ind w:firstLine="640" w:firstLineChars="200"/>
        <w:rPr>
          <w:sz w:val="32"/>
          <w:szCs w:val="32"/>
        </w:rPr>
      </w:pPr>
      <w:r>
        <w:rPr>
          <w:rFonts w:hint="eastAsia"/>
          <w:sz w:val="32"/>
          <w:szCs w:val="32"/>
        </w:rPr>
        <w:t>十四、对个人和家庭的补助支出：单位用于对个人和家庭的补助支出。</w:t>
      </w:r>
    </w:p>
    <w:p>
      <w:pPr>
        <w:widowControl/>
        <w:spacing w:line="590" w:lineRule="exact"/>
        <w:ind w:firstLine="640" w:firstLineChars="200"/>
        <w:rPr>
          <w:sz w:val="32"/>
          <w:szCs w:val="32"/>
        </w:rPr>
      </w:pPr>
      <w:r>
        <w:rPr>
          <w:rFonts w:hint="eastAsia"/>
          <w:sz w:val="32"/>
          <w:szCs w:val="32"/>
        </w:rPr>
        <w:t>十五、年末结转：本年度或以前年度预算安排，已执行但尚未完成或因客观条件发生变化无法按原计划实施，需延迟到以后年度按有关规定继续使用的资金。</w:t>
      </w:r>
    </w:p>
    <w:p>
      <w:pPr>
        <w:widowControl/>
        <w:spacing w:line="590" w:lineRule="exact"/>
        <w:ind w:firstLine="640" w:firstLineChars="200"/>
        <w:rPr>
          <w:rFonts w:ascii="黑体" w:eastAsia="黑体"/>
          <w:sz w:val="32"/>
          <w:szCs w:val="32"/>
        </w:rPr>
      </w:pPr>
      <w:r>
        <w:rPr>
          <w:rFonts w:hint="eastAsia"/>
          <w:sz w:val="32"/>
          <w:szCs w:val="32"/>
        </w:rPr>
        <w:t>十六、年末结余：本年度或以前年度预算安排，已执行完毕或因客观条件发生变化无法按原预算安排实施，不需要再使用或无法按原预算安排继续使用的资金。</w:t>
      </w:r>
    </w:p>
    <w:p>
      <w:pPr>
        <w:pStyle w:val="2"/>
        <w:spacing w:before="2" w:line="520" w:lineRule="exact"/>
        <w:ind w:right="270" w:firstLine="723" w:firstLineChars="225"/>
        <w:jc w:val="both"/>
        <w:rPr>
          <w:b/>
          <w:lang w:val="en-US"/>
        </w:rPr>
      </w:pPr>
    </w:p>
    <w:sectPr>
      <w:pgSz w:w="11910" w:h="16840"/>
      <w:pgMar w:top="1474" w:right="1361" w:bottom="1474" w:left="1361" w:header="0" w:footer="998" w:gutter="0"/>
      <w:cols w:space="720" w:num="1"/>
      <w:docGrid w:linePitch="29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rPr>
        <w:lang w:val="en-US"/>
      </w:rPr>
      <w:pict>
        <v:shape id="_x0000_s4097" o:spid="_x0000_s4097" o:spt="202" type="#_x0000_t202" style="position:absolute;left:0pt;margin-top:0pt;height:144pt;width:144pt;mso-position-horizontal:center;mso-position-horizontal-relative:margin;mso-wrap-style:none;z-index:251658240;mso-width-relative:page;mso-height-relative:page;" filled="f" o:preferrelative="t" stroked="f" coordsize="21600,21600">
          <v:path/>
          <v:fill on="f" focussize="0,0"/>
          <v:stroke on="f" joinstyle="miter"/>
          <v:imagedata o:title=""/>
          <o:lock v:ext="edit"/>
          <v:textbox inset="0mm,0mm,0mm,0mm" style="mso-fit-shape-to-text:t;">
            <w:txbxContent>
              <w:p>
                <w:pPr>
                  <w:pStyle w:val="3"/>
                  <w:jc w:val="center"/>
                </w:pPr>
                <w:r>
                  <w:fldChar w:fldCharType="begin"/>
                </w:r>
                <w:r>
                  <w:instrText xml:space="preserve"> PAGE   \* MERGEFORMAT </w:instrText>
                </w:r>
                <w:r>
                  <w:fldChar w:fldCharType="separate"/>
                </w:r>
                <w:r>
                  <w:t>3</w:t>
                </w:r>
                <w:r>
                  <w:fldChar w:fldCharType="end"/>
                </w:r>
              </w:p>
              <w:p/>
            </w:txbxContent>
          </v:textbox>
        </v:shape>
      </w:pict>
    </w:r>
  </w:p>
  <w:p>
    <w:pPr>
      <w:pStyle w:val="2"/>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w:rPr>
        <w:lang w:val="en-US"/>
      </w:rPr>
      <w:pict>
        <v:shape id="_x0000_s4098" o:spid="_x0000_s4098" o:spt="202" type="#_x0000_t202" style="position:absolute;left:0pt;margin-top:0pt;height:144pt;width:144pt;mso-position-horizontal:center;mso-position-horizontal-relative:margin;mso-wrap-style:none;z-index:251658240;mso-width-relative:page;mso-height-relative:page;" filled="f" o:preferrelative="t" stroked="f" coordsize="21600,21600">
          <v:path/>
          <v:fill on="f" focussize="0,0"/>
          <v:stroke on="f" joinstyle="miter"/>
          <v:imagedata o:title=""/>
          <o:lock v:ext="edit"/>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r>
      <w:rPr>
        <w:lang w:val="en-US"/>
      </w:rPr>
      <w:pict>
        <v:shape id="_x0000_s4099" o:spid="_x0000_s4099" o:spt="202" type="#_x0000_t202" style="position:absolute;left:0pt;margin-left:289.15pt;margin-top:794.7pt;height:12pt;width:17.1pt;mso-position-horizontal-relative:page;mso-position-vertical-relative:page;z-index:-251660288;mso-width-relative:page;mso-height-relative:page;" filled="f" o:preferrelative="t" stroked="f" coordsize="21600,21600">
          <v:path/>
          <v:fill on="f" focussize="0,0"/>
          <v:stroke on="f" joinstyle="miter"/>
          <v:imagedata o:title=""/>
          <o:lock v:ext="edit"/>
          <v:textbox inset="0mm,0mm,0mm,0mm">
            <w:txbxContent>
              <w:p>
                <w:pPr>
                  <w:spacing w:before="12"/>
                  <w:rPr>
                    <w:rFonts w:ascii="Times New Roman"/>
                    <w:sz w:val="18"/>
                  </w:rPr>
                </w:pP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w:rPr>
        <w:lang w:val="en-US"/>
      </w:rPr>
      <w:pict>
        <v:shape id="_x0000_s4100" o:spid="_x0000_s4100"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pStyle w:val="3"/>
                </w:pPr>
                <w:r>
                  <w:fldChar w:fldCharType="begin"/>
                </w:r>
                <w:r>
                  <w:instrText xml:space="preserve"> PAGE  \* MERGEFORMAT </w:instrText>
                </w:r>
                <w:r>
                  <w:fldChar w:fldCharType="separate"/>
                </w:r>
                <w:r>
                  <w:t>22</w:t>
                </w:r>
                <w:r>
                  <w:fldChar w:fldCharType="end"/>
                </w:r>
              </w:p>
            </w:txbxContent>
          </v:textbox>
        </v:shape>
      </w:pict>
    </w:r>
    <w:r>
      <w:rPr>
        <w:lang w:val="en-US"/>
      </w:rPr>
      <w:pict>
        <v:shape id="_x0000_s4101" o:spid="_x0000_s4101" o:spt="202" type="#_x0000_t202" style="position:absolute;left:0pt;margin-left:295.15pt;margin-top:781.05pt;height:12pt;width:6.5pt;mso-position-horizontal-relative:page;mso-position-vertical-relative:page;z-index:-251659264;mso-width-relative:page;mso-height-relative:page;" filled="f" o:preferrelative="t" stroked="f" coordsize="21600,21600">
          <v:path/>
          <v:fill on="f" focussize="0,0"/>
          <v:stroke on="f" joinstyle="miter"/>
          <v:imagedata o:title=""/>
          <o:lock v:ext="edit"/>
          <v:textbox inset="0mm,0mm,0mm,0mm">
            <w:txbxContent>
              <w:p>
                <w:pPr>
                  <w:spacing w:before="12"/>
                  <w:rPr>
                    <w:rFonts w:ascii="Times New Roman"/>
                    <w:sz w:val="18"/>
                  </w:rPr>
                </w:pP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720"/>
  <w:drawingGridHorizontalSpacing w:val="110"/>
  <w:displayHorizontalDrawingGridEvery w:val="1"/>
  <w:displayVerticalDrawingGridEvery w:val="1"/>
  <w:noPunctuationKerning w:val="1"/>
  <w:characterSpacingControl w:val="doNotCompress"/>
  <w:noLineBreaksAfter w:lang="zh-CN" w:val="$([{£¥·‘“〈《「『【〔〖〝﹙﹛﹝＄（．［｛￡￥"/>
  <w:noLineBreaksBefore w:lang="zh-CN" w:val="!%),.:;&gt;?]}¢¨°·ˇˉ―‖’”…‰′″›℃∶、。〃〉》」』】〕〗〞︶︺︾﹀﹄﹚﹜﹞！＂％＇），．：；？］｀｜｝～￠"/>
  <w:hdrShapeDefaults>
    <o:shapelayout v:ext="edit">
      <o:idmap v:ext="edit" data="3,4"/>
    </o:shapelayout>
  </w:hdrShapeDefaults>
  <w:compat>
    <w:spaceForUL/>
    <w:doNotLeaveBackslashAlone/>
    <w:ulTrailSpace/>
    <w:doNotExpandShiftReturn/>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1521C"/>
    <w:rsid w:val="00035E89"/>
    <w:rsid w:val="00042F67"/>
    <w:rsid w:val="000B5B2B"/>
    <w:rsid w:val="000F7189"/>
    <w:rsid w:val="0014573E"/>
    <w:rsid w:val="001C2D14"/>
    <w:rsid w:val="00271CB8"/>
    <w:rsid w:val="00294C5C"/>
    <w:rsid w:val="003208CB"/>
    <w:rsid w:val="00337BC7"/>
    <w:rsid w:val="00374C9E"/>
    <w:rsid w:val="003A58B4"/>
    <w:rsid w:val="00417E73"/>
    <w:rsid w:val="00436A27"/>
    <w:rsid w:val="004E15DE"/>
    <w:rsid w:val="004F5CCC"/>
    <w:rsid w:val="00510606"/>
    <w:rsid w:val="00576C46"/>
    <w:rsid w:val="005F18B4"/>
    <w:rsid w:val="006458DA"/>
    <w:rsid w:val="00650E6D"/>
    <w:rsid w:val="006A0B7F"/>
    <w:rsid w:val="00721115"/>
    <w:rsid w:val="00740D2D"/>
    <w:rsid w:val="007D2C12"/>
    <w:rsid w:val="00803696"/>
    <w:rsid w:val="008D3430"/>
    <w:rsid w:val="00921AC3"/>
    <w:rsid w:val="00A54A1C"/>
    <w:rsid w:val="00AE450A"/>
    <w:rsid w:val="00B3314B"/>
    <w:rsid w:val="00B37710"/>
    <w:rsid w:val="00BD49F2"/>
    <w:rsid w:val="00BD7D72"/>
    <w:rsid w:val="00C67CAF"/>
    <w:rsid w:val="00D32FBF"/>
    <w:rsid w:val="00E96DEB"/>
    <w:rsid w:val="00ED0C49"/>
    <w:rsid w:val="00F1521C"/>
    <w:rsid w:val="23A02CB7"/>
    <w:rsid w:val="293B2250"/>
    <w:rsid w:val="314F3E97"/>
    <w:rsid w:val="4C6A1F2D"/>
    <w:rsid w:val="4EF745A9"/>
    <w:rsid w:val="6B051BEE"/>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name="heading 2" w:locked="1"/>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unhideWhenUsed="0" w:uiPriority="99" w:name="Default Paragraph Font"/>
    <w:lsdException w:qFormat="1" w:unhideWhenUsed="0" w:uiPriority="99" w:semiHidden="0" w:name="Body Text"/>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qFormat="1" w:unhideWhenUsed="0" w:uiPriority="99" w:semiHidden="0" w:name="Hyperlink"/>
    <w:lsdException w:qFormat="1" w:unhideWhenUsed="0" w:uiPriority="99" w:semiHidden="0" w:name="FollowedHyperlink"/>
    <w:lsdException w:qFormat="1" w:unhideWhenUsed="0" w:uiPriority="22"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5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pPr>
    <w:rPr>
      <w:rFonts w:ascii="仿宋_GB2312" w:hAnsi="仿宋_GB2312" w:eastAsia="仿宋_GB2312" w:cs="仿宋_GB2312"/>
      <w:kern w:val="0"/>
      <w:sz w:val="22"/>
      <w:szCs w:val="22"/>
      <w:lang w:val="zh-CN" w:eastAsia="zh-CN" w:bidi="ar-SA"/>
    </w:rPr>
  </w:style>
  <w:style w:type="character" w:default="1" w:styleId="5">
    <w:name w:val="Default Paragraph Font"/>
    <w:semiHidden/>
    <w:uiPriority w:val="99"/>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w:basedOn w:val="1"/>
    <w:link w:val="9"/>
    <w:qFormat/>
    <w:uiPriority w:val="99"/>
    <w:rPr>
      <w:sz w:val="32"/>
      <w:szCs w:val="32"/>
    </w:rPr>
  </w:style>
  <w:style w:type="paragraph" w:styleId="3">
    <w:name w:val="footer"/>
    <w:basedOn w:val="1"/>
    <w:link w:val="10"/>
    <w:qFormat/>
    <w:uiPriority w:val="99"/>
    <w:pPr>
      <w:tabs>
        <w:tab w:val="center" w:pos="4153"/>
        <w:tab w:val="right" w:pos="8306"/>
      </w:tabs>
      <w:snapToGrid w:val="0"/>
    </w:pPr>
    <w:rPr>
      <w:sz w:val="18"/>
      <w:szCs w:val="18"/>
    </w:rPr>
  </w:style>
  <w:style w:type="paragraph" w:styleId="4">
    <w:name w:val="header"/>
    <w:basedOn w:val="1"/>
    <w:link w:val="11"/>
    <w:qFormat/>
    <w:uiPriority w:val="99"/>
    <w:pPr>
      <w:pBdr>
        <w:bottom w:val="single" w:color="auto" w:sz="6" w:space="1"/>
      </w:pBdr>
      <w:tabs>
        <w:tab w:val="center" w:pos="4153"/>
        <w:tab w:val="right" w:pos="8306"/>
      </w:tabs>
      <w:snapToGrid w:val="0"/>
      <w:jc w:val="center"/>
    </w:pPr>
    <w:rPr>
      <w:sz w:val="18"/>
      <w:szCs w:val="18"/>
    </w:rPr>
  </w:style>
  <w:style w:type="character" w:styleId="6">
    <w:name w:val="FollowedHyperlink"/>
    <w:basedOn w:val="5"/>
    <w:qFormat/>
    <w:uiPriority w:val="99"/>
    <w:rPr>
      <w:rFonts w:cs="Times New Roman"/>
      <w:color w:val="800080"/>
      <w:u w:val="single"/>
    </w:rPr>
  </w:style>
  <w:style w:type="character" w:styleId="7">
    <w:name w:val="Hyperlink"/>
    <w:basedOn w:val="5"/>
    <w:qFormat/>
    <w:uiPriority w:val="99"/>
    <w:rPr>
      <w:rFonts w:cs="Times New Roman"/>
      <w:color w:val="0000FF"/>
      <w:u w:val="single"/>
    </w:rPr>
  </w:style>
  <w:style w:type="character" w:customStyle="1" w:styleId="9">
    <w:name w:val="Body Text Char"/>
    <w:basedOn w:val="5"/>
    <w:link w:val="2"/>
    <w:semiHidden/>
    <w:qFormat/>
    <w:locked/>
    <w:uiPriority w:val="99"/>
    <w:rPr>
      <w:rFonts w:ascii="仿宋_GB2312" w:hAnsi="仿宋_GB2312" w:eastAsia="仿宋_GB2312" w:cs="仿宋_GB2312"/>
      <w:kern w:val="0"/>
      <w:sz w:val="22"/>
      <w:lang w:val="zh-CN"/>
    </w:rPr>
  </w:style>
  <w:style w:type="character" w:customStyle="1" w:styleId="10">
    <w:name w:val="Footer Char"/>
    <w:basedOn w:val="5"/>
    <w:link w:val="3"/>
    <w:semiHidden/>
    <w:qFormat/>
    <w:locked/>
    <w:uiPriority w:val="99"/>
    <w:rPr>
      <w:rFonts w:ascii="仿宋_GB2312" w:hAnsi="仿宋_GB2312" w:eastAsia="仿宋_GB2312" w:cs="仿宋_GB2312"/>
      <w:sz w:val="18"/>
      <w:szCs w:val="18"/>
      <w:lang w:val="zh-CN" w:eastAsia="zh-CN"/>
    </w:rPr>
  </w:style>
  <w:style w:type="character" w:customStyle="1" w:styleId="11">
    <w:name w:val="Header Char"/>
    <w:basedOn w:val="5"/>
    <w:link w:val="4"/>
    <w:semiHidden/>
    <w:qFormat/>
    <w:locked/>
    <w:uiPriority w:val="99"/>
    <w:rPr>
      <w:rFonts w:ascii="仿宋_GB2312" w:hAnsi="仿宋_GB2312" w:eastAsia="仿宋_GB2312" w:cs="仿宋_GB2312"/>
      <w:sz w:val="18"/>
      <w:szCs w:val="18"/>
      <w:lang w:val="zh-CN" w:eastAsia="zh-CN"/>
    </w:rPr>
  </w:style>
  <w:style w:type="paragraph" w:customStyle="1" w:styleId="12">
    <w:name w:val="批注框文本1"/>
    <w:basedOn w:val="1"/>
    <w:link w:val="13"/>
    <w:qFormat/>
    <w:uiPriority w:val="99"/>
    <w:rPr>
      <w:sz w:val="18"/>
      <w:szCs w:val="18"/>
    </w:rPr>
  </w:style>
  <w:style w:type="character" w:customStyle="1" w:styleId="13">
    <w:name w:val="批注框文本 Char"/>
    <w:basedOn w:val="5"/>
    <w:link w:val="12"/>
    <w:semiHidden/>
    <w:qFormat/>
    <w:locked/>
    <w:uiPriority w:val="99"/>
    <w:rPr>
      <w:rFonts w:ascii="仿宋_GB2312" w:hAnsi="仿宋_GB2312" w:eastAsia="仿宋_GB2312" w:cs="仿宋_GB2312"/>
      <w:sz w:val="18"/>
      <w:szCs w:val="18"/>
      <w:lang w:val="zh-CN"/>
    </w:rPr>
  </w:style>
  <w:style w:type="paragraph" w:customStyle="1" w:styleId="14">
    <w:name w:val="Normal (Web)1"/>
    <w:basedOn w:val="1"/>
    <w:qFormat/>
    <w:uiPriority w:val="99"/>
    <w:pPr>
      <w:widowControl/>
      <w:spacing w:before="100" w:beforeAutospacing="1" w:after="100" w:afterAutospacing="1"/>
    </w:pPr>
    <w:rPr>
      <w:rFonts w:ascii="宋体" w:hAnsi="宋体" w:eastAsia="宋体" w:cs="宋体"/>
      <w:sz w:val="24"/>
      <w:szCs w:val="24"/>
      <w:lang w:val="en-US"/>
    </w:rPr>
  </w:style>
  <w:style w:type="paragraph" w:customStyle="1" w:styleId="15">
    <w:name w:val="标题 11"/>
    <w:basedOn w:val="1"/>
    <w:qFormat/>
    <w:uiPriority w:val="99"/>
    <w:pPr>
      <w:spacing w:before="27"/>
      <w:ind w:left="2273" w:right="2175"/>
      <w:jc w:val="center"/>
      <w:outlineLvl w:val="1"/>
    </w:pPr>
    <w:rPr>
      <w:rFonts w:ascii="黑体" w:hAnsi="黑体" w:eastAsia="黑体" w:cs="黑体"/>
      <w:sz w:val="52"/>
      <w:szCs w:val="52"/>
    </w:rPr>
  </w:style>
  <w:style w:type="paragraph" w:customStyle="1" w:styleId="16">
    <w:name w:val="List Paragraph1"/>
    <w:basedOn w:val="1"/>
    <w:qFormat/>
    <w:uiPriority w:val="99"/>
  </w:style>
  <w:style w:type="paragraph" w:customStyle="1" w:styleId="17">
    <w:name w:val="Table Paragraph"/>
    <w:basedOn w:val="1"/>
    <w:qFormat/>
    <w:uiPriority w:val="99"/>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4097"/>
    <customShpInfo spid="_x0000_s4098"/>
    <customShpInfo spid="_x0000_s4099"/>
    <customShpInfo spid="_x0000_s4100"/>
    <customShpInfo spid="_x0000_s410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Microsoft</Company>
  <Pages>28</Pages>
  <Words>2479</Words>
  <Characters>14133</Characters>
  <Lines>0</Lines>
  <Paragraphs>0</Paragraphs>
  <TotalTime>0</TotalTime>
  <ScaleCrop>false</ScaleCrop>
  <LinksUpToDate>false</LinksUpToDate>
  <CharactersWithSpaces>0</CharactersWithSpaces>
  <Application>WPS Office_11.1.0.7989_F1E327BC-269C-435d-A152-05C5408002CA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2019-01-29T11:12:00Z</dcterms:created>
  <dc:creator>Administrator</dc:creator>
  <cp:lastModifiedBy>Administrator</cp:lastModifiedBy>
  <dcterms:modified xsi:type="dcterms:W3CDTF">2019-02-16T09:51:57Z</dcterms:modified>
  <dc:title>&lt;4D6963726F736F667420576F7264202D20BAD3C4CFCAA1B2C6D5FECCFC32303137C4EABEF6CBE3B9ABBFAACBB5C3F7205F382E3238B2CCD6F7C8CEB8C45F&gt;</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PScript5.dll Version 5.2</vt:lpwstr>
  </property>
  <property fmtid="{D5CDD505-2E9C-101B-9397-08002B2CF9AE}" pid="3" name="KSOProductBuildVer">
    <vt:lpwstr>2052-11.1.0.7989</vt:lpwstr>
  </property>
</Properties>
</file>