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eastAsia="Times New Roman"/>
          <w:sz w:val="20"/>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ind w:firstLine="1988" w:firstLineChars="450"/>
        <w:rPr>
          <w:rFonts w:hint="eastAsia" w:ascii="黑体" w:hAnsi="黑体" w:eastAsia="黑体" w:cs="黑体"/>
          <w:b/>
          <w:bCs/>
          <w:sz w:val="44"/>
          <w:szCs w:val="44"/>
        </w:rPr>
      </w:pPr>
      <w:r>
        <w:rPr>
          <w:rFonts w:hint="eastAsia" w:ascii="黑体" w:hAnsi="黑体" w:eastAsia="黑体" w:cs="黑体"/>
          <w:b/>
          <w:bCs/>
          <w:sz w:val="44"/>
          <w:szCs w:val="44"/>
          <w:lang w:val="en-US" w:eastAsia="zh-CN"/>
        </w:rPr>
        <w:t xml:space="preserve">  </w:t>
      </w:r>
      <w:r>
        <w:rPr>
          <w:rFonts w:hint="eastAsia" w:ascii="黑体" w:hAnsi="黑体" w:eastAsia="黑体" w:cs="黑体"/>
          <w:b/>
          <w:bCs/>
          <w:sz w:val="44"/>
          <w:szCs w:val="44"/>
        </w:rPr>
        <w:t>淮阳县政法委机关</w:t>
      </w:r>
    </w:p>
    <w:p>
      <w:pPr>
        <w:spacing w:before="285"/>
        <w:ind w:left="2273" w:right="-63"/>
        <w:rPr>
          <w:rFonts w:hint="eastAsia" w:ascii="黑体" w:hAnsi="黑体" w:eastAsia="黑体" w:cs="黑体"/>
          <w:b/>
          <w:bCs/>
          <w:sz w:val="44"/>
          <w:szCs w:val="44"/>
        </w:rPr>
      </w:pPr>
      <w:r>
        <w:rPr>
          <w:rFonts w:hint="eastAsia" w:ascii="黑体" w:hAnsi="黑体" w:eastAsia="黑体" w:cs="黑体"/>
          <w:b/>
          <w:bCs/>
          <w:sz w:val="44"/>
          <w:szCs w:val="44"/>
        </w:rPr>
        <w:t>2017 年度部门决算</w:t>
      </w:r>
    </w:p>
    <w:p>
      <w:pPr>
        <w:pStyle w:val="2"/>
        <w:jc w:val="center"/>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rPr>
          <w:rFonts w:hint="eastAsia" w:ascii="黑体" w:hAnsi="黑体" w:eastAsia="黑体" w:cs="黑体"/>
          <w:b/>
          <w:bCs/>
          <w:sz w:val="44"/>
          <w:szCs w:val="44"/>
        </w:rPr>
      </w:pPr>
    </w:p>
    <w:p>
      <w:pPr>
        <w:pStyle w:val="2"/>
        <w:spacing w:before="2"/>
        <w:rPr>
          <w:rFonts w:hint="eastAsia" w:ascii="黑体" w:hAnsi="黑体" w:eastAsia="黑体" w:cs="黑体"/>
          <w:b/>
          <w:bCs/>
          <w:sz w:val="44"/>
          <w:szCs w:val="44"/>
        </w:rPr>
      </w:pPr>
    </w:p>
    <w:p>
      <w:pPr>
        <w:pStyle w:val="2"/>
        <w:ind w:left="2273" w:right="2175"/>
        <w:jc w:val="both"/>
        <w:rPr>
          <w:rFonts w:hint="eastAsia" w:ascii="黑体" w:hAnsi="黑体" w:eastAsia="黑体" w:cs="黑体"/>
          <w:b/>
          <w:bCs/>
          <w:sz w:val="44"/>
          <w:szCs w:val="44"/>
        </w:rPr>
      </w:pPr>
      <w:r>
        <w:rPr>
          <w:rFonts w:hint="eastAsia" w:ascii="黑体" w:hAnsi="黑体" w:eastAsia="黑体" w:cs="黑体"/>
          <w:b/>
          <w:bCs/>
          <w:sz w:val="44"/>
          <w:szCs w:val="44"/>
          <w:lang w:val="en-US" w:eastAsia="zh-CN"/>
        </w:rPr>
        <w:t xml:space="preserve"> </w:t>
      </w:r>
      <w:r>
        <w:rPr>
          <w:rFonts w:hint="eastAsia" w:ascii="黑体" w:hAnsi="黑体" w:eastAsia="黑体" w:cs="黑体"/>
          <w:b/>
          <w:bCs/>
          <w:sz w:val="44"/>
          <w:szCs w:val="44"/>
        </w:rPr>
        <w:t>二〇一八年</w:t>
      </w:r>
      <w:r>
        <w:rPr>
          <w:rFonts w:hint="eastAsia" w:ascii="黑体" w:hAnsi="黑体" w:eastAsia="黑体" w:cs="黑体"/>
          <w:b/>
          <w:bCs/>
          <w:sz w:val="44"/>
          <w:szCs w:val="44"/>
          <w:lang w:val="en-US"/>
        </w:rPr>
        <w:t>八</w:t>
      </w:r>
      <w:r>
        <w:rPr>
          <w:rFonts w:hint="eastAsia" w:ascii="黑体" w:hAnsi="黑体" w:eastAsia="黑体" w:cs="黑体"/>
          <w:b/>
          <w:bCs/>
          <w:sz w:val="44"/>
          <w:szCs w:val="44"/>
        </w:rPr>
        <w:t>月</w:t>
      </w:r>
    </w:p>
    <w:p>
      <w:pPr>
        <w:jc w:val="center"/>
        <w:sectPr>
          <w:headerReference r:id="rId5" w:type="first"/>
          <w:footerReference r:id="rId8" w:type="first"/>
          <w:headerReference r:id="rId3" w:type="default"/>
          <w:footerReference r:id="rId6" w:type="default"/>
          <w:headerReference r:id="rId4" w:type="even"/>
          <w:footerReference r:id="rId7" w:type="even"/>
          <w:type w:val="continuous"/>
          <w:pgSz w:w="11910" w:h="16840"/>
          <w:pgMar w:top="1600" w:right="570" w:bottom="1180" w:left="1480" w:header="720" w:footer="999" w:gutter="0"/>
          <w:pgNumType w:start="1"/>
          <w:cols w:space="720" w:num="1"/>
        </w:sectPr>
      </w:pPr>
    </w:p>
    <w:p>
      <w:pPr>
        <w:tabs>
          <w:tab w:val="left" w:pos="3420"/>
        </w:tabs>
        <w:spacing w:before="26"/>
        <w:jc w:val="center"/>
        <w:rPr>
          <w:rFonts w:hint="eastAsia" w:ascii="宋体" w:hAnsi="宋体" w:eastAsia="宋体" w:cs="宋体"/>
          <w:sz w:val="32"/>
          <w:szCs w:val="32"/>
        </w:rPr>
      </w:pPr>
      <w:r>
        <w:rPr>
          <w:rFonts w:hint="eastAsia" w:ascii="宋体" w:hAnsi="宋体" w:eastAsia="宋体" w:cs="宋体"/>
          <w:sz w:val="32"/>
          <w:szCs w:val="32"/>
        </w:rPr>
        <w:t>目    录</w:t>
      </w:r>
    </w:p>
    <w:p>
      <w:pPr>
        <w:pStyle w:val="2"/>
        <w:tabs>
          <w:tab w:val="left" w:pos="2027"/>
        </w:tabs>
        <w:spacing w:before="198"/>
        <w:ind w:left="108" w:leftChars="49" w:firstLine="640" w:firstLineChars="200"/>
        <w:rPr>
          <w:rFonts w:hint="eastAsia" w:ascii="宋体" w:hAnsi="宋体" w:eastAsia="宋体" w:cs="宋体"/>
          <w:sz w:val="32"/>
          <w:szCs w:val="32"/>
          <w:lang w:val="en-US"/>
        </w:rPr>
      </w:pPr>
      <w:r>
        <w:rPr>
          <w:rFonts w:hint="eastAsia" w:ascii="宋体" w:hAnsi="宋体" w:eastAsia="宋体" w:cs="宋体"/>
          <w:sz w:val="32"/>
          <w:szCs w:val="32"/>
        </w:rPr>
        <w:t>第一部分</w:t>
      </w:r>
      <w:r>
        <w:rPr>
          <w:rFonts w:hint="eastAsia" w:ascii="宋体" w:hAnsi="宋体" w:eastAsia="宋体" w:cs="宋体"/>
          <w:sz w:val="32"/>
          <w:szCs w:val="32"/>
          <w:lang w:val="en-US"/>
        </w:rPr>
        <w:t>淮阳县政法委机关</w:t>
      </w:r>
      <w:r>
        <w:rPr>
          <w:rFonts w:hint="eastAsia" w:ascii="宋体" w:hAnsi="宋体" w:eastAsia="宋体" w:cs="宋体"/>
          <w:sz w:val="32"/>
          <w:szCs w:val="32"/>
        </w:rPr>
        <w:t>概况</w:t>
      </w:r>
    </w:p>
    <w:p>
      <w:pPr>
        <w:pStyle w:val="2"/>
        <w:spacing w:before="225" w:line="372" w:lineRule="auto"/>
        <w:ind w:left="747" w:right="6233"/>
        <w:rPr>
          <w:rFonts w:hint="eastAsia" w:ascii="宋体" w:hAnsi="宋体" w:eastAsia="宋体" w:cs="宋体"/>
          <w:sz w:val="32"/>
          <w:szCs w:val="32"/>
        </w:rPr>
      </w:pPr>
      <w:r>
        <w:rPr>
          <w:rFonts w:hint="eastAsia" w:ascii="宋体" w:hAnsi="宋体" w:eastAsia="宋体" w:cs="宋体"/>
          <w:sz w:val="32"/>
          <w:szCs w:val="32"/>
        </w:rPr>
        <w:t>一、部门职责二、机构设置</w:t>
      </w:r>
    </w:p>
    <w:p>
      <w:pPr>
        <w:pStyle w:val="2"/>
        <w:tabs>
          <w:tab w:val="left" w:pos="2026"/>
        </w:tabs>
        <w:spacing w:line="406" w:lineRule="exact"/>
        <w:ind w:left="108" w:leftChars="49" w:firstLine="640" w:firstLineChars="200"/>
        <w:rPr>
          <w:rFonts w:hint="eastAsia" w:ascii="宋体" w:hAnsi="宋体" w:eastAsia="宋体" w:cs="宋体"/>
          <w:sz w:val="32"/>
          <w:szCs w:val="32"/>
        </w:rPr>
      </w:pPr>
      <w:r>
        <w:rPr>
          <w:rFonts w:hint="eastAsia" w:ascii="宋体" w:hAnsi="宋体" w:eastAsia="宋体" w:cs="宋体"/>
          <w:sz w:val="32"/>
          <w:szCs w:val="32"/>
        </w:rPr>
        <w:t>第</w:t>
      </w:r>
      <w:r>
        <w:rPr>
          <w:rFonts w:hint="eastAsia" w:ascii="宋体" w:hAnsi="宋体" w:eastAsia="宋体" w:cs="宋体"/>
          <w:sz w:val="32"/>
          <w:szCs w:val="32"/>
          <w:lang w:val="en-US"/>
        </w:rPr>
        <w:t>二</w:t>
      </w:r>
      <w:r>
        <w:rPr>
          <w:rFonts w:hint="eastAsia" w:ascii="宋体" w:hAnsi="宋体" w:eastAsia="宋体" w:cs="宋体"/>
          <w:sz w:val="32"/>
          <w:szCs w:val="32"/>
        </w:rPr>
        <w:t>部分</w:t>
      </w:r>
      <w:r>
        <w:rPr>
          <w:rFonts w:hint="eastAsia" w:ascii="宋体" w:hAnsi="宋体" w:eastAsia="宋体" w:cs="宋体"/>
          <w:sz w:val="32"/>
          <w:szCs w:val="32"/>
        </w:rPr>
        <w:tab/>
      </w:r>
      <w:r>
        <w:rPr>
          <w:rFonts w:hint="eastAsia" w:ascii="宋体" w:hAnsi="宋体" w:eastAsia="宋体" w:cs="宋体"/>
          <w:sz w:val="32"/>
          <w:szCs w:val="32"/>
        </w:rPr>
        <w:t xml:space="preserve"> 2017年度部门决算情况说明</w:t>
      </w:r>
    </w:p>
    <w:p>
      <w:pPr>
        <w:pStyle w:val="2"/>
        <w:spacing w:before="225" w:line="372" w:lineRule="auto"/>
        <w:ind w:left="747" w:right="3675"/>
        <w:rPr>
          <w:rFonts w:hint="eastAsia" w:ascii="宋体" w:hAnsi="宋体" w:eastAsia="宋体" w:cs="宋体"/>
          <w:sz w:val="32"/>
          <w:szCs w:val="32"/>
        </w:rPr>
      </w:pPr>
      <w:r>
        <w:rPr>
          <w:rFonts w:hint="eastAsia" w:ascii="宋体" w:hAnsi="宋体" w:eastAsia="宋体" w:cs="宋体"/>
          <w:spacing w:val="-1"/>
          <w:sz w:val="32"/>
          <w:szCs w:val="32"/>
        </w:rPr>
        <w:t>一、收入支出决算总体情况说明二、收入决算情况说明</w:t>
      </w:r>
    </w:p>
    <w:p>
      <w:pPr>
        <w:pStyle w:val="2"/>
        <w:spacing w:line="406" w:lineRule="exact"/>
        <w:ind w:left="747"/>
        <w:rPr>
          <w:rFonts w:hint="eastAsia" w:ascii="宋体" w:hAnsi="宋体" w:eastAsia="宋体" w:cs="宋体"/>
          <w:sz w:val="32"/>
          <w:szCs w:val="32"/>
        </w:rPr>
      </w:pPr>
      <w:r>
        <w:rPr>
          <w:rFonts w:hint="eastAsia" w:ascii="宋体" w:hAnsi="宋体" w:eastAsia="宋体" w:cs="宋体"/>
          <w:spacing w:val="-1"/>
          <w:sz w:val="32"/>
          <w:szCs w:val="32"/>
        </w:rPr>
        <w:t>三、支出决算情况说明</w:t>
      </w:r>
    </w:p>
    <w:p>
      <w:pPr>
        <w:pStyle w:val="2"/>
        <w:spacing w:before="225" w:line="360" w:lineRule="auto"/>
        <w:ind w:left="747"/>
        <w:rPr>
          <w:rFonts w:hint="eastAsia" w:ascii="宋体" w:hAnsi="宋体" w:eastAsia="宋体" w:cs="宋体"/>
          <w:sz w:val="32"/>
          <w:szCs w:val="32"/>
        </w:rPr>
      </w:pPr>
      <w:r>
        <w:rPr>
          <w:rFonts w:hint="eastAsia" w:ascii="宋体" w:hAnsi="宋体" w:eastAsia="宋体" w:cs="宋体"/>
          <w:sz w:val="32"/>
          <w:szCs w:val="32"/>
        </w:rPr>
        <w:t>四、财政拨款收入支出决算总体情况说明</w:t>
      </w:r>
    </w:p>
    <w:p>
      <w:pPr>
        <w:pStyle w:val="2"/>
        <w:spacing w:before="224" w:line="360" w:lineRule="auto"/>
        <w:ind w:left="747"/>
        <w:rPr>
          <w:rFonts w:hint="eastAsia" w:ascii="宋体" w:hAnsi="宋体" w:eastAsia="宋体" w:cs="宋体"/>
          <w:sz w:val="32"/>
          <w:szCs w:val="32"/>
        </w:rPr>
      </w:pPr>
      <w:r>
        <w:rPr>
          <w:rFonts w:hint="eastAsia" w:ascii="宋体" w:hAnsi="宋体" w:eastAsia="宋体" w:cs="宋体"/>
          <w:sz w:val="32"/>
          <w:szCs w:val="32"/>
        </w:rPr>
        <w:t>五、一般公共预算财政拨款支出决算情况说明</w:t>
      </w:r>
    </w:p>
    <w:p>
      <w:pPr>
        <w:pStyle w:val="2"/>
        <w:spacing w:before="223" w:line="360" w:lineRule="auto"/>
        <w:ind w:left="747"/>
        <w:rPr>
          <w:rFonts w:hint="eastAsia" w:ascii="宋体" w:hAnsi="宋体" w:eastAsia="宋体" w:cs="宋体"/>
          <w:sz w:val="32"/>
          <w:szCs w:val="32"/>
        </w:rPr>
      </w:pPr>
      <w:r>
        <w:rPr>
          <w:rFonts w:hint="eastAsia" w:ascii="宋体" w:hAnsi="宋体" w:eastAsia="宋体" w:cs="宋体"/>
          <w:sz w:val="32"/>
          <w:szCs w:val="32"/>
        </w:rPr>
        <w:t>六、一般公共预算财政拨款基本支出决算情况说明</w:t>
      </w:r>
    </w:p>
    <w:p>
      <w:pPr>
        <w:pStyle w:val="2"/>
        <w:spacing w:before="225" w:line="360" w:lineRule="auto"/>
        <w:ind w:left="747"/>
        <w:rPr>
          <w:rFonts w:hint="eastAsia" w:ascii="宋体" w:hAnsi="宋体" w:eastAsia="宋体" w:cs="宋体"/>
          <w:spacing w:val="-20"/>
          <w:sz w:val="32"/>
          <w:szCs w:val="32"/>
          <w:lang w:val="en-US"/>
        </w:rPr>
      </w:pPr>
      <w:r>
        <w:rPr>
          <w:rFonts w:hint="eastAsia" w:ascii="宋体" w:hAnsi="宋体" w:eastAsia="宋体" w:cs="宋体"/>
          <w:spacing w:val="-20"/>
          <w:sz w:val="32"/>
          <w:szCs w:val="32"/>
        </w:rPr>
        <w:t>七、一般公共预算财政拨款“三公”经费支出决算情况说</w:t>
      </w:r>
      <w:r>
        <w:rPr>
          <w:rFonts w:hint="eastAsia" w:ascii="宋体" w:hAnsi="宋体" w:eastAsia="宋体" w:cs="宋体"/>
          <w:spacing w:val="-20"/>
          <w:sz w:val="32"/>
          <w:szCs w:val="32"/>
          <w:lang w:val="en-US"/>
        </w:rPr>
        <w:t>明</w:t>
      </w:r>
    </w:p>
    <w:p>
      <w:pPr>
        <w:pStyle w:val="2"/>
        <w:spacing w:before="225" w:line="360" w:lineRule="auto"/>
        <w:ind w:left="747"/>
        <w:rPr>
          <w:rFonts w:hint="eastAsia" w:ascii="宋体" w:hAnsi="宋体" w:eastAsia="宋体" w:cs="宋体"/>
          <w:color w:val="auto"/>
          <w:spacing w:val="-20"/>
          <w:sz w:val="32"/>
          <w:szCs w:val="32"/>
          <w:lang w:val="en-US"/>
        </w:rPr>
      </w:pPr>
      <w:r>
        <w:rPr>
          <w:rFonts w:hint="eastAsia" w:ascii="宋体" w:hAnsi="宋体" w:eastAsia="宋体" w:cs="宋体"/>
          <w:color w:val="auto"/>
          <w:spacing w:val="-20"/>
          <w:sz w:val="32"/>
          <w:szCs w:val="32"/>
          <w:lang w:val="en-US"/>
        </w:rPr>
        <w:t>八、重点绩效评价结果等预算绩效情况说明</w:t>
      </w:r>
    </w:p>
    <w:p>
      <w:pPr>
        <w:pStyle w:val="2"/>
        <w:spacing w:line="372" w:lineRule="auto"/>
        <w:ind w:left="747" w:right="3994"/>
        <w:rPr>
          <w:rFonts w:hint="eastAsia" w:ascii="宋体" w:hAnsi="宋体" w:eastAsia="宋体" w:cs="宋体"/>
          <w:sz w:val="32"/>
          <w:szCs w:val="32"/>
        </w:rPr>
      </w:pPr>
      <w:r>
        <w:rPr>
          <w:rFonts w:hint="eastAsia" w:ascii="宋体" w:hAnsi="宋体" w:eastAsia="宋体" w:cs="宋体"/>
          <w:sz w:val="32"/>
          <w:szCs w:val="32"/>
        </w:rPr>
        <w:t>九、政府性基金预算财政拨款支出决算情况说明</w:t>
      </w:r>
    </w:p>
    <w:p>
      <w:pPr>
        <w:pStyle w:val="2"/>
        <w:spacing w:line="372" w:lineRule="auto"/>
        <w:ind w:right="3994"/>
        <w:jc w:val="left"/>
        <w:rPr>
          <w:rFonts w:hint="eastAsia" w:ascii="宋体" w:hAnsi="宋体" w:eastAsia="宋体" w:cs="宋体"/>
          <w:sz w:val="32"/>
          <w:szCs w:val="32"/>
        </w:rPr>
      </w:pP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十、机关运行经费支出情况</w:t>
      </w:r>
      <w:r>
        <w:rPr>
          <w:rFonts w:hint="eastAsia" w:ascii="宋体" w:hAnsi="宋体" w:eastAsia="宋体" w:cs="宋体"/>
          <w:sz w:val="32"/>
          <w:szCs w:val="32"/>
          <w:lang w:eastAsia="zh-CN"/>
        </w:rPr>
        <w:t>说明</w:t>
      </w:r>
      <w:r>
        <w:rPr>
          <w:rFonts w:hint="eastAsia" w:ascii="宋体" w:hAnsi="宋体" w:eastAsia="宋体" w:cs="宋体"/>
          <w:sz w:val="32"/>
          <w:szCs w:val="32"/>
          <w:lang w:val="en-US" w:eastAsia="zh-CN"/>
        </w:rPr>
        <w:t xml:space="preserve">                                                                                 </w:t>
      </w:r>
    </w:p>
    <w:p>
      <w:pPr>
        <w:pStyle w:val="2"/>
        <w:spacing w:before="223" w:line="360" w:lineRule="auto"/>
        <w:ind w:left="747" w:right="1434"/>
        <w:rPr>
          <w:rFonts w:hint="eastAsia" w:ascii="宋体" w:hAnsi="宋体" w:eastAsia="宋体" w:cs="宋体"/>
          <w:sz w:val="32"/>
          <w:szCs w:val="32"/>
        </w:rPr>
      </w:pPr>
      <w:r>
        <w:rPr>
          <w:rFonts w:hint="eastAsia" w:ascii="宋体" w:hAnsi="宋体" w:eastAsia="宋体" w:cs="宋体"/>
          <w:sz w:val="32"/>
          <w:szCs w:val="32"/>
        </w:rPr>
        <w:t>十一、政府采购支出情况说明</w:t>
      </w:r>
    </w:p>
    <w:p>
      <w:pPr>
        <w:pStyle w:val="2"/>
        <w:spacing w:before="223" w:line="360" w:lineRule="auto"/>
        <w:ind w:left="747" w:right="1434"/>
        <w:sectPr>
          <w:pgSz w:w="11910" w:h="16840"/>
          <w:pgMar w:top="1500" w:right="1520" w:bottom="1180" w:left="1480" w:header="0" w:footer="999" w:gutter="0"/>
          <w:cols w:space="720" w:num="1"/>
          <w:docGrid w:type="lines" w:linePitch="312" w:charSpace="0"/>
        </w:sectPr>
      </w:pPr>
      <w:r>
        <w:rPr>
          <w:rFonts w:hint="eastAsia" w:ascii="宋体" w:hAnsi="宋体" w:eastAsia="宋体" w:cs="宋体"/>
          <w:sz w:val="32"/>
          <w:szCs w:val="32"/>
        </w:rPr>
        <w:t>十二、国有资产占用情况说明</w:t>
      </w:r>
    </w:p>
    <w:p>
      <w:pPr>
        <w:pStyle w:val="2"/>
        <w:tabs>
          <w:tab w:val="left" w:pos="2027"/>
        </w:tabs>
        <w:spacing w:line="407" w:lineRule="exact"/>
        <w:ind w:left="108" w:leftChars="49" w:firstLine="640" w:firstLineChars="200"/>
        <w:rPr>
          <w:rFonts w:hint="eastAsia" w:ascii="宋体" w:hAnsi="宋体" w:eastAsia="宋体" w:cs="宋体"/>
          <w:sz w:val="32"/>
          <w:szCs w:val="32"/>
        </w:rPr>
      </w:pPr>
      <w:r>
        <w:rPr>
          <w:rFonts w:hint="eastAsia" w:ascii="宋体" w:hAnsi="宋体" w:eastAsia="宋体" w:cs="宋体"/>
          <w:sz w:val="32"/>
          <w:szCs w:val="32"/>
        </w:rPr>
        <w:t>第</w:t>
      </w:r>
      <w:r>
        <w:rPr>
          <w:rFonts w:hint="eastAsia" w:ascii="宋体" w:hAnsi="宋体" w:eastAsia="宋体" w:cs="宋体"/>
          <w:sz w:val="32"/>
          <w:szCs w:val="32"/>
          <w:lang w:val="en-US"/>
        </w:rPr>
        <w:t>三</w:t>
      </w:r>
      <w:r>
        <w:rPr>
          <w:rFonts w:hint="eastAsia" w:ascii="宋体" w:hAnsi="宋体" w:eastAsia="宋体" w:cs="宋体"/>
          <w:sz w:val="32"/>
          <w:szCs w:val="32"/>
        </w:rPr>
        <w:t>部分</w:t>
      </w:r>
      <w:r>
        <w:rPr>
          <w:rFonts w:hint="eastAsia" w:ascii="宋体" w:hAnsi="宋体" w:eastAsia="宋体" w:cs="宋体"/>
          <w:sz w:val="32"/>
          <w:szCs w:val="32"/>
        </w:rPr>
        <w:tab/>
      </w:r>
      <w:r>
        <w:rPr>
          <w:rFonts w:hint="eastAsia" w:ascii="宋体" w:hAnsi="宋体" w:eastAsia="宋体" w:cs="宋体"/>
          <w:sz w:val="32"/>
          <w:szCs w:val="32"/>
        </w:rPr>
        <w:t>名词解释</w:t>
      </w:r>
    </w:p>
    <w:p>
      <w:pPr>
        <w:pStyle w:val="2"/>
        <w:tabs>
          <w:tab w:val="left" w:pos="2027"/>
        </w:tabs>
        <w:spacing w:line="406" w:lineRule="exact"/>
        <w:ind w:left="108" w:leftChars="49" w:firstLine="640" w:firstLineChars="200"/>
        <w:rPr>
          <w:rFonts w:hint="eastAsia" w:ascii="宋体" w:hAnsi="宋体" w:eastAsia="宋体" w:cs="宋体"/>
          <w:sz w:val="32"/>
          <w:szCs w:val="32"/>
          <w:lang w:val="en-US"/>
        </w:rPr>
      </w:pPr>
    </w:p>
    <w:p>
      <w:pPr>
        <w:pStyle w:val="2"/>
        <w:tabs>
          <w:tab w:val="left" w:pos="2027"/>
        </w:tabs>
        <w:spacing w:line="406" w:lineRule="exact"/>
        <w:ind w:left="108" w:leftChars="49" w:firstLine="640" w:firstLineChars="200"/>
        <w:rPr>
          <w:rFonts w:hint="eastAsia" w:ascii="宋体" w:hAnsi="宋体" w:eastAsia="宋体" w:cs="宋体"/>
          <w:sz w:val="32"/>
          <w:szCs w:val="32"/>
        </w:rPr>
      </w:pPr>
      <w:r>
        <w:rPr>
          <w:rFonts w:hint="eastAsia" w:ascii="宋体" w:hAnsi="宋体" w:eastAsia="宋体" w:cs="宋体"/>
          <w:sz w:val="32"/>
          <w:szCs w:val="32"/>
          <w:lang w:val="en-US"/>
        </w:rPr>
        <w:t>附件：</w:t>
      </w:r>
      <w:r>
        <w:rPr>
          <w:rFonts w:hint="eastAsia" w:ascii="宋体" w:hAnsi="宋体" w:eastAsia="宋体" w:cs="宋体"/>
          <w:sz w:val="32"/>
          <w:szCs w:val="32"/>
        </w:rPr>
        <w:t>2017年度部门决算表</w:t>
      </w:r>
    </w:p>
    <w:p>
      <w:pPr>
        <w:pStyle w:val="2"/>
        <w:spacing w:before="225" w:line="372" w:lineRule="auto"/>
        <w:ind w:left="747" w:right="4954"/>
        <w:rPr>
          <w:rFonts w:hint="eastAsia" w:ascii="宋体" w:hAnsi="宋体" w:eastAsia="宋体" w:cs="宋体"/>
          <w:sz w:val="32"/>
          <w:szCs w:val="32"/>
        </w:rPr>
      </w:pPr>
      <w:r>
        <w:rPr>
          <w:rFonts w:hint="eastAsia" w:ascii="宋体" w:hAnsi="宋体" w:eastAsia="宋体" w:cs="宋体"/>
          <w:spacing w:val="-2"/>
          <w:sz w:val="32"/>
          <w:szCs w:val="32"/>
        </w:rPr>
        <w:t>一、收入支出决算总表</w:t>
      </w:r>
      <w:r>
        <w:rPr>
          <w:rFonts w:hint="eastAsia" w:ascii="宋体" w:hAnsi="宋体" w:eastAsia="宋体" w:cs="宋体"/>
          <w:sz w:val="32"/>
          <w:szCs w:val="32"/>
        </w:rPr>
        <w:t>二、收入决算表</w:t>
      </w:r>
    </w:p>
    <w:p>
      <w:pPr>
        <w:pStyle w:val="2"/>
        <w:spacing w:line="406" w:lineRule="exact"/>
        <w:ind w:left="747"/>
        <w:rPr>
          <w:rFonts w:hint="eastAsia" w:ascii="宋体" w:hAnsi="宋体" w:eastAsia="宋体" w:cs="宋体"/>
          <w:sz w:val="32"/>
          <w:szCs w:val="32"/>
        </w:rPr>
      </w:pPr>
      <w:r>
        <w:rPr>
          <w:rFonts w:hint="eastAsia" w:ascii="宋体" w:hAnsi="宋体" w:eastAsia="宋体" w:cs="宋体"/>
          <w:spacing w:val="-1"/>
          <w:sz w:val="32"/>
          <w:szCs w:val="32"/>
        </w:rPr>
        <w:t>三、支出决算表</w:t>
      </w:r>
    </w:p>
    <w:p>
      <w:pPr>
        <w:pStyle w:val="2"/>
        <w:spacing w:before="224"/>
        <w:ind w:left="747"/>
        <w:rPr>
          <w:rFonts w:hint="eastAsia" w:ascii="宋体" w:hAnsi="宋体" w:eastAsia="宋体" w:cs="宋体"/>
          <w:sz w:val="32"/>
          <w:szCs w:val="32"/>
        </w:rPr>
      </w:pPr>
      <w:r>
        <w:rPr>
          <w:rFonts w:hint="eastAsia" w:ascii="宋体" w:hAnsi="宋体" w:eastAsia="宋体" w:cs="宋体"/>
          <w:sz w:val="32"/>
          <w:szCs w:val="32"/>
        </w:rPr>
        <w:t>四、财政拨款收入支出决算总表</w:t>
      </w:r>
    </w:p>
    <w:p>
      <w:pPr>
        <w:pStyle w:val="2"/>
        <w:spacing w:before="224"/>
        <w:ind w:left="747"/>
        <w:rPr>
          <w:rFonts w:hint="eastAsia" w:ascii="宋体" w:hAnsi="宋体" w:eastAsia="宋体" w:cs="宋体"/>
          <w:sz w:val="32"/>
          <w:szCs w:val="32"/>
        </w:rPr>
      </w:pPr>
      <w:r>
        <w:rPr>
          <w:rFonts w:hint="eastAsia" w:ascii="宋体" w:hAnsi="宋体" w:eastAsia="宋体" w:cs="宋体"/>
          <w:sz w:val="32"/>
          <w:szCs w:val="32"/>
        </w:rPr>
        <w:t>五、一般公共预算财政拨款支出决算表</w:t>
      </w:r>
    </w:p>
    <w:p>
      <w:pPr>
        <w:pStyle w:val="2"/>
        <w:spacing w:before="224"/>
        <w:ind w:left="747"/>
        <w:rPr>
          <w:rFonts w:hint="eastAsia" w:ascii="宋体" w:hAnsi="宋体" w:eastAsia="宋体" w:cs="宋体"/>
          <w:sz w:val="32"/>
          <w:szCs w:val="32"/>
        </w:rPr>
      </w:pPr>
      <w:r>
        <w:rPr>
          <w:rFonts w:hint="eastAsia" w:ascii="宋体" w:hAnsi="宋体" w:eastAsia="宋体" w:cs="宋体"/>
          <w:sz w:val="32"/>
          <w:szCs w:val="32"/>
        </w:rPr>
        <w:t>六、一般公共预算财政拨款基本支出决算表</w:t>
      </w:r>
    </w:p>
    <w:p>
      <w:pPr>
        <w:pStyle w:val="2"/>
        <w:spacing w:before="224" w:line="372" w:lineRule="auto"/>
        <w:ind w:left="747" w:right="795"/>
        <w:rPr>
          <w:rFonts w:hint="eastAsia" w:ascii="宋体" w:hAnsi="宋体" w:eastAsia="宋体" w:cs="宋体"/>
          <w:sz w:val="32"/>
          <w:szCs w:val="32"/>
        </w:rPr>
      </w:pPr>
      <w:r>
        <w:rPr>
          <w:rFonts w:hint="eastAsia" w:ascii="宋体" w:hAnsi="宋体" w:eastAsia="宋体" w:cs="宋体"/>
          <w:sz w:val="32"/>
          <w:szCs w:val="32"/>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docGrid w:type="lines" w:linePitch="312" w:charSpace="0"/>
        </w:sectPr>
      </w:pPr>
    </w:p>
    <w:p>
      <w:pPr>
        <w:pStyle w:val="2"/>
        <w:rPr>
          <w:rFonts w:hint="eastAsia" w:ascii="宋体" w:hAnsi="宋体" w:eastAsia="宋体" w:cs="宋体"/>
          <w:sz w:val="32"/>
          <w:szCs w:val="32"/>
        </w:rPr>
      </w:pPr>
    </w:p>
    <w:p>
      <w:pPr>
        <w:pStyle w:val="2"/>
        <w:rPr>
          <w:rFonts w:hint="eastAsia" w:ascii="宋体" w:hAnsi="宋体" w:eastAsia="宋体" w:cs="宋体"/>
          <w:sz w:val="32"/>
          <w:szCs w:val="32"/>
        </w:rPr>
      </w:pPr>
    </w:p>
    <w:p>
      <w:pPr>
        <w:pStyle w:val="2"/>
        <w:rPr>
          <w:rFonts w:hint="eastAsia" w:ascii="宋体" w:hAnsi="宋体" w:eastAsia="宋体" w:cs="宋体"/>
          <w:sz w:val="32"/>
          <w:szCs w:val="32"/>
        </w:rPr>
      </w:pPr>
    </w:p>
    <w:p>
      <w:pPr>
        <w:pStyle w:val="2"/>
        <w:rPr>
          <w:rFonts w:hint="eastAsia" w:ascii="宋体" w:hAnsi="宋体" w:eastAsia="宋体" w:cs="宋体"/>
          <w:sz w:val="32"/>
          <w:szCs w:val="32"/>
        </w:rPr>
      </w:pPr>
    </w:p>
    <w:p>
      <w:pPr>
        <w:tabs>
          <w:tab w:val="left" w:pos="3993"/>
        </w:tabs>
        <w:spacing w:before="32"/>
        <w:jc w:val="both"/>
        <w:rPr>
          <w:rFonts w:hint="eastAsia" w:ascii="宋体" w:hAnsi="宋体" w:eastAsia="宋体" w:cs="宋体"/>
          <w:b/>
          <w:bCs/>
          <w:sz w:val="32"/>
          <w:szCs w:val="32"/>
        </w:rPr>
      </w:pPr>
      <w:r>
        <w:rPr>
          <w:rFonts w:hint="eastAsia" w:ascii="宋体" w:hAnsi="宋体" w:eastAsia="宋体" w:cs="宋体"/>
          <w:sz w:val="32"/>
          <w:szCs w:val="32"/>
          <w:lang w:val="en-US" w:eastAsia="zh-CN"/>
        </w:rPr>
        <w:t xml:space="preserve">                  </w:t>
      </w:r>
      <w:r>
        <w:rPr>
          <w:rFonts w:hint="eastAsia" w:ascii="宋体" w:hAnsi="宋体" w:eastAsia="宋体" w:cs="宋体"/>
          <w:b/>
          <w:bCs/>
          <w:sz w:val="32"/>
          <w:szCs w:val="32"/>
          <w:lang w:val="en-US" w:eastAsia="zh-CN"/>
        </w:rPr>
        <w:t xml:space="preserve">      </w:t>
      </w:r>
      <w:r>
        <w:rPr>
          <w:rFonts w:hint="eastAsia" w:ascii="宋体" w:hAnsi="宋体" w:eastAsia="宋体" w:cs="宋体"/>
          <w:b/>
          <w:bCs/>
          <w:sz w:val="32"/>
          <w:szCs w:val="32"/>
        </w:rPr>
        <w:t>第一部分</w:t>
      </w:r>
    </w:p>
    <w:p>
      <w:pPr>
        <w:tabs>
          <w:tab w:val="left" w:pos="3993"/>
        </w:tabs>
        <w:spacing w:before="32"/>
        <w:jc w:val="center"/>
        <w:rPr>
          <w:rFonts w:hint="eastAsia" w:ascii="宋体" w:hAnsi="宋体" w:eastAsia="宋体" w:cs="宋体"/>
          <w:b/>
          <w:bCs/>
          <w:sz w:val="32"/>
          <w:szCs w:val="32"/>
          <w:lang w:val="en-US"/>
        </w:rPr>
      </w:pPr>
    </w:p>
    <w:p>
      <w:pPr>
        <w:tabs>
          <w:tab w:val="left" w:pos="3993"/>
        </w:tabs>
        <w:spacing w:before="32"/>
        <w:jc w:val="center"/>
        <w:rPr>
          <w:rFonts w:hint="eastAsia" w:ascii="宋体" w:hAnsi="宋体" w:eastAsia="宋体" w:cs="宋体"/>
          <w:sz w:val="32"/>
          <w:szCs w:val="32"/>
          <w:lang w:val="en-US"/>
        </w:rPr>
      </w:pPr>
      <w:r>
        <w:rPr>
          <w:rFonts w:hint="eastAsia" w:ascii="宋体" w:hAnsi="宋体" w:eastAsia="宋体" w:cs="宋体"/>
          <w:b/>
          <w:bCs/>
          <w:sz w:val="32"/>
          <w:szCs w:val="32"/>
          <w:lang w:val="en-US"/>
        </w:rPr>
        <w:t>淮阳县政法委机关</w:t>
      </w:r>
      <w:r>
        <w:rPr>
          <w:rFonts w:hint="eastAsia" w:ascii="宋体" w:hAnsi="宋体" w:eastAsia="宋体" w:cs="宋体"/>
          <w:b/>
          <w:bCs/>
          <w:sz w:val="32"/>
          <w:szCs w:val="32"/>
        </w:rPr>
        <w:t>概况</w:t>
      </w:r>
    </w:p>
    <w:p>
      <w:pPr>
        <w:sectPr>
          <w:footerReference r:id="rId9" w:type="default"/>
          <w:pgSz w:w="11910" w:h="16840"/>
          <w:pgMar w:top="1600" w:right="1520" w:bottom="920" w:left="1480" w:header="0" w:footer="726" w:gutter="0"/>
          <w:pgNumType w:start="1"/>
          <w:cols w:space="720" w:num="1"/>
          <w:docGrid w:type="lines" w:linePitch="312" w:charSpace="0"/>
        </w:sectPr>
      </w:pPr>
    </w:p>
    <w:p>
      <w:pPr>
        <w:widowControl/>
        <w:jc w:val="center"/>
        <w:rPr>
          <w:rFonts w:hint="eastAsia" w:ascii="宋体" w:hAnsi="宋体" w:eastAsia="宋体" w:cs="宋体"/>
          <w:b/>
          <w:bCs/>
          <w:sz w:val="32"/>
          <w:szCs w:val="32"/>
        </w:rPr>
      </w:pPr>
      <w:r>
        <w:rPr>
          <w:rFonts w:hint="eastAsia" w:ascii="宋体" w:hAnsi="宋体" w:eastAsia="宋体" w:cs="宋体"/>
          <w:b/>
          <w:bCs/>
          <w:sz w:val="32"/>
          <w:szCs w:val="32"/>
        </w:rPr>
        <w:t>第一部分  淮阳县政法委机关概况</w:t>
      </w:r>
    </w:p>
    <w:p>
      <w:pPr>
        <w:widowControl/>
        <w:jc w:val="center"/>
        <w:rPr>
          <w:rFonts w:hint="eastAsia" w:ascii="宋体" w:hAnsi="宋体" w:eastAsia="宋体" w:cs="宋体"/>
          <w:b/>
          <w:bCs/>
          <w:sz w:val="32"/>
          <w:szCs w:val="32"/>
        </w:rPr>
      </w:pPr>
    </w:p>
    <w:p>
      <w:pPr>
        <w:widowControl/>
        <w:rPr>
          <w:rFonts w:hint="eastAsia" w:ascii="宋体" w:hAnsi="宋体" w:eastAsia="宋体" w:cs="宋体"/>
          <w:b/>
          <w:bCs/>
          <w:sz w:val="32"/>
          <w:szCs w:val="32"/>
        </w:rPr>
      </w:pPr>
      <w:r>
        <w:rPr>
          <w:rFonts w:hint="eastAsia" w:ascii="宋体" w:hAnsi="宋体" w:eastAsia="宋体" w:cs="宋体"/>
          <w:b/>
          <w:bCs/>
          <w:sz w:val="32"/>
          <w:szCs w:val="32"/>
        </w:rPr>
        <w:t>一、部门职责</w:t>
      </w:r>
    </w:p>
    <w:p>
      <w:pPr>
        <w:widowControl/>
        <w:rPr>
          <w:rFonts w:hint="eastAsia" w:ascii="宋体" w:hAnsi="宋体" w:eastAsia="宋体" w:cs="宋体"/>
          <w:sz w:val="32"/>
          <w:szCs w:val="32"/>
        </w:rPr>
      </w:pPr>
      <w:r>
        <w:rPr>
          <w:rFonts w:hint="eastAsia" w:ascii="宋体" w:hAnsi="宋体" w:eastAsia="宋体" w:cs="宋体"/>
          <w:sz w:val="32"/>
          <w:szCs w:val="32"/>
        </w:rPr>
        <w:t>（一）贯彻落实中央和省委、市委、县委有关政法工作、政法干部队伍建设的方针、政策、指示，根据中央、省委政法委员会和中央、省社会治安综合治理委员会以及县委、县政府的部署，统一政法各部门和综治成员单位的思想和行动。</w:t>
      </w:r>
    </w:p>
    <w:p>
      <w:pPr>
        <w:widowControl/>
        <w:rPr>
          <w:rFonts w:hint="eastAsia" w:ascii="宋体" w:hAnsi="宋体" w:eastAsia="宋体" w:cs="宋体"/>
          <w:sz w:val="32"/>
          <w:szCs w:val="32"/>
        </w:rPr>
      </w:pPr>
      <w:r>
        <w:rPr>
          <w:rFonts w:hint="eastAsia" w:ascii="宋体" w:hAnsi="宋体" w:eastAsia="宋体" w:cs="宋体"/>
          <w:sz w:val="32"/>
          <w:szCs w:val="32"/>
        </w:rPr>
        <w:t>（二）参与组织推动依法治县方针的实施，调查研究实施中存在的问题，向县委、县政府提出建议。</w:t>
      </w:r>
    </w:p>
    <w:p>
      <w:pPr>
        <w:widowControl/>
        <w:rPr>
          <w:rFonts w:hint="eastAsia" w:ascii="宋体" w:hAnsi="宋体" w:eastAsia="宋体" w:cs="宋体"/>
          <w:sz w:val="32"/>
          <w:szCs w:val="32"/>
        </w:rPr>
      </w:pPr>
      <w:r>
        <w:rPr>
          <w:rFonts w:hint="eastAsia" w:ascii="宋体" w:hAnsi="宋体" w:eastAsia="宋体" w:cs="宋体"/>
          <w:sz w:val="32"/>
          <w:szCs w:val="32"/>
        </w:rPr>
        <w:t xml:space="preserve">（三）围绕县委、县政府的中心工作，对一定时期内政法综治工作作出全局性部署，并督促贯彻落实。 </w:t>
      </w:r>
    </w:p>
    <w:p>
      <w:pPr>
        <w:widowControl/>
        <w:rPr>
          <w:rFonts w:hint="eastAsia" w:ascii="宋体" w:hAnsi="宋体" w:eastAsia="宋体" w:cs="宋体"/>
          <w:sz w:val="32"/>
          <w:szCs w:val="32"/>
        </w:rPr>
      </w:pPr>
      <w:r>
        <w:rPr>
          <w:rFonts w:hint="eastAsia" w:ascii="宋体" w:hAnsi="宋体" w:eastAsia="宋体" w:cs="宋体"/>
          <w:sz w:val="32"/>
          <w:szCs w:val="32"/>
        </w:rPr>
        <w:t>（四）组织领导、协调指导维护社会稳定工作，制订有关工作目标和措施，协调、督促有关部门抓好落实；组织协调有关部门打击、处理邪教组织和其他非法组织。</w:t>
      </w:r>
    </w:p>
    <w:p>
      <w:pPr>
        <w:widowControl/>
        <w:rPr>
          <w:rFonts w:hint="eastAsia" w:ascii="宋体" w:hAnsi="宋体" w:eastAsia="宋体" w:cs="宋体"/>
          <w:b/>
          <w:bCs/>
          <w:sz w:val="32"/>
          <w:szCs w:val="32"/>
        </w:rPr>
      </w:pPr>
    </w:p>
    <w:p>
      <w:pPr>
        <w:widowControl/>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二、机构设置</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淮阳县政法委是正科级单位，内设4个科室:办公室、协调督查室、信访督查室、政治工作办公室。在职人员18人，其中：公务员17人，工勤人员 1人。退休人员4人。</w:t>
      </w:r>
    </w:p>
    <w:p>
      <w:pPr>
        <w:pStyle w:val="2"/>
        <w:spacing w:before="2" w:line="364" w:lineRule="auto"/>
        <w:ind w:left="142" w:right="270" w:firstLine="468"/>
        <w:jc w:val="both"/>
        <w:sectPr>
          <w:footerReference r:id="rId10" w:type="default"/>
          <w:pgSz w:w="11910" w:h="16840"/>
          <w:pgMar w:top="1520" w:right="1278" w:bottom="1180" w:left="1480" w:header="0" w:footer="999" w:gutter="0"/>
          <w:cols w:space="720" w:num="1"/>
          <w:docGrid w:type="lines" w:linePitch="299" w:charSpace="0"/>
        </w:sectPr>
      </w:pPr>
    </w:p>
    <w:p>
      <w:pPr>
        <w:pStyle w:val="2"/>
        <w:spacing w:before="2" w:line="364" w:lineRule="auto"/>
        <w:ind w:right="270"/>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tabs>
          <w:tab w:val="left" w:pos="3993"/>
        </w:tabs>
        <w:spacing w:before="32"/>
        <w:jc w:val="center"/>
        <w:rPr>
          <w:rFonts w:hint="eastAsia" w:ascii="宋体" w:hAnsi="宋体" w:eastAsia="宋体" w:cs="宋体"/>
          <w:b/>
          <w:bCs/>
          <w:sz w:val="32"/>
          <w:szCs w:val="32"/>
        </w:rPr>
      </w:pPr>
      <w:r>
        <w:rPr>
          <w:rFonts w:hint="eastAsia" w:ascii="宋体" w:hAnsi="宋体" w:eastAsia="宋体" w:cs="宋体"/>
          <w:b/>
          <w:bCs/>
          <w:sz w:val="32"/>
          <w:szCs w:val="32"/>
        </w:rPr>
        <w:t>第</w:t>
      </w:r>
      <w:r>
        <w:rPr>
          <w:rFonts w:hint="eastAsia" w:ascii="宋体" w:hAnsi="宋体" w:eastAsia="宋体" w:cs="宋体"/>
          <w:b/>
          <w:bCs/>
          <w:sz w:val="32"/>
          <w:szCs w:val="32"/>
          <w:lang w:val="en-US"/>
        </w:rPr>
        <w:t>二</w:t>
      </w:r>
      <w:r>
        <w:rPr>
          <w:rFonts w:hint="eastAsia" w:ascii="宋体" w:hAnsi="宋体" w:eastAsia="宋体" w:cs="宋体"/>
          <w:b/>
          <w:bCs/>
          <w:sz w:val="32"/>
          <w:szCs w:val="32"/>
        </w:rPr>
        <w:t>部分</w:t>
      </w:r>
    </w:p>
    <w:p>
      <w:pPr>
        <w:tabs>
          <w:tab w:val="left" w:pos="3993"/>
        </w:tabs>
        <w:spacing w:before="32"/>
        <w:jc w:val="center"/>
        <w:rPr>
          <w:rFonts w:hint="eastAsia" w:ascii="宋体" w:hAnsi="宋体" w:eastAsia="宋体" w:cs="宋体"/>
          <w:b/>
          <w:bCs/>
          <w:sz w:val="32"/>
          <w:szCs w:val="32"/>
        </w:rPr>
      </w:pPr>
      <w:r>
        <w:rPr>
          <w:rFonts w:hint="eastAsia" w:ascii="宋体" w:hAnsi="宋体" w:eastAsia="宋体" w:cs="宋体"/>
          <w:b/>
          <w:bCs/>
          <w:sz w:val="32"/>
          <w:szCs w:val="32"/>
        </w:rPr>
        <w:t>2017 年度部门决算情况说明</w:t>
      </w:r>
    </w:p>
    <w:p>
      <w:pPr>
        <w:pStyle w:val="2"/>
        <w:spacing w:before="2" w:line="364" w:lineRule="auto"/>
        <w:ind w:left="317" w:right="270" w:firstLine="468"/>
        <w:jc w:val="both"/>
        <w:rPr>
          <w:rFonts w:hint="eastAsia" w:ascii="宋体" w:hAnsi="宋体" w:eastAsia="宋体" w:cs="宋体"/>
          <w:b/>
          <w:bCs/>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 w:line="364" w:lineRule="auto"/>
        <w:ind w:left="317" w:right="270" w:firstLine="468"/>
        <w:jc w:val="both"/>
        <w:rPr>
          <w:rFonts w:hint="eastAsia" w:ascii="宋体" w:hAnsi="宋体" w:eastAsia="宋体" w:cs="宋体"/>
          <w:sz w:val="32"/>
          <w:szCs w:val="32"/>
          <w:lang w:val="en-US"/>
        </w:rPr>
      </w:pPr>
    </w:p>
    <w:p>
      <w:pPr>
        <w:pStyle w:val="2"/>
        <w:spacing w:before="214" w:line="364" w:lineRule="auto"/>
        <w:ind w:left="317" w:right="112" w:firstLine="639"/>
        <w:rPr>
          <w:rFonts w:hint="eastAsia" w:ascii="宋体" w:hAnsi="宋体" w:eastAsia="宋体" w:cs="宋体"/>
          <w:spacing w:val="-6"/>
          <w:sz w:val="32"/>
          <w:szCs w:val="32"/>
        </w:rPr>
      </w:pPr>
    </w:p>
    <w:p>
      <w:pPr>
        <w:pStyle w:val="2"/>
        <w:spacing w:before="214" w:line="364" w:lineRule="auto"/>
        <w:ind w:left="317" w:right="112" w:firstLine="639"/>
        <w:rPr>
          <w:rFonts w:hint="eastAsia" w:ascii="宋体" w:hAnsi="宋体" w:eastAsia="宋体" w:cs="宋体"/>
          <w:spacing w:val="-6"/>
          <w:sz w:val="32"/>
          <w:szCs w:val="32"/>
        </w:rPr>
      </w:pPr>
    </w:p>
    <w:p>
      <w:pPr>
        <w:pStyle w:val="2"/>
        <w:spacing w:before="214" w:line="364" w:lineRule="auto"/>
        <w:ind w:left="317" w:right="112" w:firstLine="639"/>
        <w:rPr>
          <w:rFonts w:hint="eastAsia" w:ascii="宋体" w:hAnsi="宋体" w:eastAsia="宋体" w:cs="宋体"/>
          <w:spacing w:val="-6"/>
          <w:sz w:val="32"/>
          <w:szCs w:val="32"/>
        </w:rPr>
      </w:pPr>
    </w:p>
    <w:p>
      <w:pPr>
        <w:pStyle w:val="2"/>
        <w:spacing w:before="214" w:line="520" w:lineRule="exact"/>
        <w:ind w:right="112" w:firstLine="696" w:firstLineChars="225"/>
        <w:rPr>
          <w:rFonts w:hint="eastAsia" w:ascii="宋体" w:hAnsi="宋体" w:eastAsia="宋体" w:cs="宋体"/>
          <w:b/>
          <w:bCs/>
          <w:spacing w:val="-6"/>
          <w:sz w:val="32"/>
          <w:szCs w:val="32"/>
        </w:rPr>
      </w:pPr>
      <w:r>
        <w:rPr>
          <w:rFonts w:hint="eastAsia" w:ascii="宋体" w:hAnsi="宋体" w:eastAsia="宋体" w:cs="宋体"/>
          <w:b/>
          <w:bCs/>
          <w:spacing w:val="-6"/>
          <w:sz w:val="32"/>
          <w:szCs w:val="32"/>
        </w:rPr>
        <w:t>一、收入支出决算总体情况说明</w:t>
      </w:r>
    </w:p>
    <w:p>
      <w:pPr>
        <w:pStyle w:val="2"/>
        <w:spacing w:before="2" w:line="520" w:lineRule="exact"/>
        <w:ind w:right="270" w:firstLine="693" w:firstLineChars="225"/>
        <w:rPr>
          <w:rFonts w:hint="eastAsia" w:ascii="宋体" w:hAnsi="宋体" w:eastAsia="宋体" w:cs="宋体"/>
          <w:spacing w:val="-6"/>
          <w:sz w:val="32"/>
          <w:szCs w:val="32"/>
          <w:lang w:val="en-US"/>
        </w:rPr>
      </w:pPr>
      <w:r>
        <w:rPr>
          <w:rFonts w:hint="eastAsia" w:ascii="宋体" w:hAnsi="宋体" w:eastAsia="宋体" w:cs="宋体"/>
          <w:spacing w:val="-6"/>
          <w:sz w:val="32"/>
          <w:szCs w:val="32"/>
          <w:lang w:val="en-US"/>
        </w:rPr>
        <w:t>2017年度收、支总计均为592.5万元。与2016年度相比，收、支总计各减少147.43万元。主要原因是县巡防队员的工资预算到公安局。</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二、收入决算情况说明</w:t>
      </w:r>
    </w:p>
    <w:p>
      <w:pPr>
        <w:pStyle w:val="2"/>
        <w:spacing w:before="2" w:line="520" w:lineRule="exact"/>
        <w:ind w:right="270" w:firstLine="693" w:firstLineChars="225"/>
        <w:rPr>
          <w:rFonts w:hint="eastAsia" w:ascii="宋体" w:hAnsi="宋体" w:eastAsia="宋体" w:cs="宋体"/>
          <w:spacing w:val="-6"/>
          <w:sz w:val="32"/>
          <w:szCs w:val="32"/>
          <w:lang w:val="en-US"/>
        </w:rPr>
      </w:pPr>
      <w:r>
        <w:rPr>
          <w:rFonts w:hint="eastAsia" w:ascii="宋体" w:hAnsi="宋体" w:eastAsia="宋体" w:cs="宋体"/>
          <w:spacing w:val="-6"/>
          <w:sz w:val="32"/>
          <w:szCs w:val="32"/>
          <w:lang w:val="en-US"/>
        </w:rPr>
        <w:t>2017年度收入合计592.5万元，其中：财政拨款收入592.5万元，占100%。</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三、支出决算情况说明</w:t>
      </w:r>
    </w:p>
    <w:p>
      <w:pPr>
        <w:pStyle w:val="2"/>
        <w:spacing w:before="2" w:line="520" w:lineRule="exact"/>
        <w:ind w:right="270" w:firstLine="693" w:firstLineChars="225"/>
        <w:rPr>
          <w:rFonts w:hint="eastAsia" w:ascii="宋体" w:hAnsi="宋体" w:eastAsia="宋体" w:cs="宋体"/>
          <w:spacing w:val="-6"/>
          <w:sz w:val="32"/>
          <w:szCs w:val="32"/>
          <w:lang w:val="en-US"/>
        </w:rPr>
      </w:pPr>
      <w:r>
        <w:rPr>
          <w:rFonts w:hint="eastAsia" w:ascii="宋体" w:hAnsi="宋体" w:eastAsia="宋体" w:cs="宋体"/>
          <w:spacing w:val="-6"/>
          <w:sz w:val="32"/>
          <w:szCs w:val="32"/>
          <w:lang w:val="en-US"/>
        </w:rPr>
        <w:t>2017年度支出合计592.5万元，其中：基本支出592.5万元，占100%；项目支出零万元.</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四、财政拨款收入支出决算总体情况说明</w:t>
      </w:r>
    </w:p>
    <w:p>
      <w:pPr>
        <w:pStyle w:val="2"/>
        <w:spacing w:before="2" w:line="520" w:lineRule="exact"/>
        <w:ind w:right="270" w:firstLine="693" w:firstLineChars="225"/>
        <w:rPr>
          <w:rFonts w:hint="eastAsia" w:ascii="宋体" w:hAnsi="宋体" w:eastAsia="宋体" w:cs="宋体"/>
          <w:spacing w:val="-6"/>
          <w:sz w:val="32"/>
          <w:szCs w:val="32"/>
          <w:lang w:val="en-US"/>
        </w:rPr>
      </w:pPr>
      <w:r>
        <w:rPr>
          <w:rFonts w:hint="eastAsia" w:ascii="宋体" w:hAnsi="宋体" w:eastAsia="宋体" w:cs="宋体"/>
          <w:spacing w:val="-6"/>
          <w:sz w:val="32"/>
          <w:szCs w:val="32"/>
          <w:lang w:val="en-US"/>
        </w:rPr>
        <w:t>2017年度财政拨款收、支总计均为592.5万元。与2016年度相比，财政拨款收、支总计各减少147.43万元。主要原因是是县巡防队员的工资预算到公安局。</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五、一般公共预算财政拨款支出决算情况说明</w:t>
      </w:r>
    </w:p>
    <w:p>
      <w:pPr>
        <w:pStyle w:val="2"/>
        <w:spacing w:before="2" w:line="520" w:lineRule="exact"/>
        <w:ind w:right="270" w:firstLine="696" w:firstLineChars="225"/>
        <w:jc w:val="both"/>
        <w:rPr>
          <w:rFonts w:hint="eastAsia" w:ascii="宋体" w:hAnsi="宋体" w:eastAsia="宋体" w:cs="宋体"/>
          <w:b/>
          <w:spacing w:val="-6"/>
          <w:sz w:val="32"/>
          <w:szCs w:val="32"/>
        </w:rPr>
      </w:pPr>
      <w:r>
        <w:rPr>
          <w:rFonts w:hint="eastAsia" w:ascii="宋体" w:hAnsi="宋体" w:eastAsia="宋体" w:cs="宋体"/>
          <w:b/>
          <w:spacing w:val="-6"/>
          <w:sz w:val="32"/>
          <w:szCs w:val="32"/>
        </w:rPr>
        <w:t>（一）总体情况</w:t>
      </w:r>
    </w:p>
    <w:p>
      <w:pPr>
        <w:widowControl/>
        <w:spacing w:line="590" w:lineRule="exact"/>
        <w:ind w:left="550" w:leftChars="250"/>
        <w:rPr>
          <w:rFonts w:hint="eastAsia" w:ascii="宋体" w:hAnsi="宋体" w:eastAsia="宋体" w:cs="宋体"/>
          <w:sz w:val="32"/>
          <w:szCs w:val="32"/>
        </w:rPr>
      </w:pPr>
      <w:r>
        <w:rPr>
          <w:rFonts w:hint="eastAsia" w:ascii="宋体" w:hAnsi="宋体" w:eastAsia="宋体" w:cs="宋体"/>
          <w:sz w:val="32"/>
          <w:szCs w:val="32"/>
        </w:rPr>
        <w:t>2017年度一般公共预算财政拨款支出539.87万元，占支出合计的100%。与2016年度相比，一般公共预算财政拨款支出减少。主要原因是主要原因是县巡防队员的工资预算到公安局。</w:t>
      </w:r>
    </w:p>
    <w:p>
      <w:pPr>
        <w:pStyle w:val="2"/>
        <w:spacing w:before="2" w:line="520" w:lineRule="exact"/>
        <w:ind w:right="270" w:firstLine="696" w:firstLineChars="225"/>
        <w:jc w:val="both"/>
        <w:rPr>
          <w:rFonts w:hint="eastAsia" w:ascii="宋体" w:hAnsi="宋体" w:eastAsia="宋体" w:cs="宋体"/>
          <w:b/>
          <w:spacing w:val="-6"/>
          <w:sz w:val="32"/>
          <w:szCs w:val="32"/>
        </w:rPr>
      </w:pPr>
      <w:r>
        <w:rPr>
          <w:rFonts w:hint="eastAsia" w:ascii="宋体" w:hAnsi="宋体" w:eastAsia="宋体" w:cs="宋体"/>
          <w:b/>
          <w:spacing w:val="-6"/>
          <w:sz w:val="32"/>
          <w:szCs w:val="32"/>
        </w:rPr>
        <w:t>（二）结构情况</w:t>
      </w:r>
    </w:p>
    <w:p>
      <w:pPr>
        <w:widowControl/>
        <w:spacing w:line="59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2017年度一般公共预算财政拨款支出592.5万元，主要用于以下方面：一般公共服务（类）支出522.23万元，占88.14%</w:t>
      </w:r>
    </w:p>
    <w:p>
      <w:pPr>
        <w:pStyle w:val="2"/>
        <w:spacing w:before="2" w:line="520" w:lineRule="exact"/>
        <w:ind w:right="270" w:firstLine="696" w:firstLineChars="225"/>
        <w:jc w:val="both"/>
        <w:rPr>
          <w:rFonts w:hint="eastAsia" w:ascii="宋体" w:hAnsi="宋体" w:eastAsia="宋体" w:cs="宋体"/>
          <w:b/>
          <w:spacing w:val="-6"/>
          <w:sz w:val="32"/>
          <w:szCs w:val="32"/>
        </w:rPr>
      </w:pPr>
      <w:r>
        <w:rPr>
          <w:rFonts w:hint="eastAsia" w:ascii="宋体" w:hAnsi="宋体" w:eastAsia="宋体" w:cs="宋体"/>
          <w:b/>
          <w:spacing w:val="-6"/>
          <w:sz w:val="32"/>
          <w:szCs w:val="32"/>
        </w:rPr>
        <w:t>（三）具体情况</w:t>
      </w:r>
    </w:p>
    <w:p>
      <w:pPr>
        <w:widowControl/>
        <w:spacing w:line="590" w:lineRule="exact"/>
        <w:ind w:firstLine="640" w:firstLineChars="200"/>
        <w:jc w:val="distribute"/>
        <w:rPr>
          <w:rFonts w:hint="eastAsia" w:ascii="宋体" w:hAnsi="宋体" w:eastAsia="宋体" w:cs="宋体"/>
          <w:sz w:val="32"/>
          <w:szCs w:val="32"/>
        </w:rPr>
      </w:pPr>
      <w:r>
        <w:rPr>
          <w:rFonts w:hint="eastAsia" w:ascii="宋体" w:hAnsi="宋体" w:eastAsia="宋体" w:cs="宋体"/>
          <w:sz w:val="32"/>
          <w:szCs w:val="32"/>
        </w:rPr>
        <w:t>2017年度一般公共预算财政拨款支出年初预算为539.87万元，支出决算为592.5万元，完成年初预算的109.74%。决算数与年初预算数存在差异的主要原因：一是综治宣传支出增加，二是机关事业单位基本养老保险支出增加；三是扶贫资金及工作经费支出增加支出。</w:t>
      </w:r>
      <w:r>
        <w:rPr>
          <w:rFonts w:hint="eastAsia" w:ascii="宋体" w:hAnsi="宋体" w:eastAsia="宋体" w:cs="宋体"/>
          <w:spacing w:val="-6"/>
          <w:sz w:val="32"/>
          <w:szCs w:val="32"/>
        </w:rPr>
        <w:t xml:space="preserve"> </w:t>
      </w:r>
    </w:p>
    <w:p>
      <w:pPr>
        <w:widowControl/>
        <w:spacing w:line="59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其中：</w:t>
      </w:r>
    </w:p>
    <w:p>
      <w:pPr>
        <w:widowControl/>
        <w:spacing w:line="590" w:lineRule="exact"/>
        <w:ind w:firstLine="643" w:firstLineChars="200"/>
        <w:rPr>
          <w:rFonts w:hint="eastAsia" w:ascii="宋体" w:hAnsi="宋体" w:eastAsia="宋体" w:cs="宋体"/>
          <w:sz w:val="32"/>
          <w:szCs w:val="32"/>
        </w:rPr>
      </w:pPr>
      <w:r>
        <w:rPr>
          <w:rFonts w:hint="eastAsia" w:ascii="宋体" w:hAnsi="宋体" w:eastAsia="宋体" w:cs="宋体"/>
          <w:b/>
          <w:bCs/>
          <w:sz w:val="32"/>
          <w:szCs w:val="32"/>
        </w:rPr>
        <w:t>1.一般公共服务（类）财政事务（款）行政运行（项）。</w:t>
      </w:r>
      <w:r>
        <w:rPr>
          <w:rFonts w:hint="eastAsia" w:ascii="宋体" w:hAnsi="宋体" w:eastAsia="宋体" w:cs="宋体"/>
          <w:sz w:val="32"/>
          <w:szCs w:val="32"/>
        </w:rPr>
        <w:t>年初预算为</w:t>
      </w:r>
      <w:r>
        <w:rPr>
          <w:rFonts w:hint="eastAsia" w:ascii="宋体" w:hAnsi="宋体" w:eastAsia="宋体" w:cs="宋体"/>
          <w:sz w:val="32"/>
          <w:szCs w:val="32"/>
          <w:lang w:val="en-US" w:eastAsia="zh-CN"/>
        </w:rPr>
        <w:t>171.9</w:t>
      </w:r>
      <w:r>
        <w:rPr>
          <w:rFonts w:hint="eastAsia" w:ascii="宋体" w:hAnsi="宋体" w:eastAsia="宋体" w:cs="宋体"/>
          <w:sz w:val="32"/>
          <w:szCs w:val="32"/>
        </w:rPr>
        <w:t>万元，支出决算为</w:t>
      </w:r>
      <w:r>
        <w:rPr>
          <w:rFonts w:hint="eastAsia" w:ascii="宋体" w:hAnsi="宋体" w:eastAsia="宋体" w:cs="宋体"/>
          <w:sz w:val="32"/>
          <w:szCs w:val="32"/>
          <w:lang w:val="en-US" w:eastAsia="zh-CN"/>
        </w:rPr>
        <w:t>229.83</w:t>
      </w:r>
      <w:r>
        <w:rPr>
          <w:rFonts w:hint="eastAsia" w:ascii="宋体" w:hAnsi="宋体" w:eastAsia="宋体" w:cs="宋体"/>
          <w:sz w:val="32"/>
          <w:szCs w:val="32"/>
        </w:rPr>
        <w:t>万元，完成年初预算的</w:t>
      </w:r>
      <w:r>
        <w:rPr>
          <w:rFonts w:hint="eastAsia" w:ascii="宋体" w:hAnsi="宋体" w:eastAsia="宋体" w:cs="宋体"/>
          <w:sz w:val="32"/>
          <w:szCs w:val="32"/>
          <w:lang w:val="en-US" w:eastAsia="zh-CN"/>
        </w:rPr>
        <w:t>1.36</w:t>
      </w:r>
      <w:r>
        <w:rPr>
          <w:rFonts w:hint="eastAsia" w:ascii="宋体" w:hAnsi="宋体" w:eastAsia="宋体" w:cs="宋体"/>
          <w:sz w:val="32"/>
          <w:szCs w:val="32"/>
        </w:rPr>
        <w:t>%。</w:t>
      </w:r>
    </w:p>
    <w:p>
      <w:pPr>
        <w:pStyle w:val="2"/>
        <w:spacing w:before="2" w:line="520" w:lineRule="exact"/>
        <w:ind w:right="270" w:firstLine="723" w:firstLineChars="225"/>
        <w:jc w:val="both"/>
        <w:rPr>
          <w:rFonts w:hint="eastAsia" w:ascii="宋体" w:hAnsi="宋体" w:eastAsia="宋体" w:cs="宋体"/>
          <w:sz w:val="32"/>
          <w:szCs w:val="32"/>
        </w:rPr>
      </w:pPr>
      <w:r>
        <w:rPr>
          <w:rFonts w:hint="eastAsia" w:ascii="宋体" w:hAnsi="宋体" w:eastAsia="宋体" w:cs="宋体"/>
          <w:b/>
          <w:bCs/>
          <w:sz w:val="32"/>
          <w:szCs w:val="32"/>
        </w:rPr>
        <w:t>2．一般公共服务（类）财政事务（款）一般行政管理事务（项）。</w:t>
      </w:r>
      <w:r>
        <w:rPr>
          <w:rFonts w:hint="eastAsia" w:ascii="宋体" w:hAnsi="宋体" w:eastAsia="宋体" w:cs="宋体"/>
          <w:sz w:val="32"/>
          <w:szCs w:val="32"/>
        </w:rPr>
        <w:t>年初预算为</w:t>
      </w:r>
      <w:r>
        <w:rPr>
          <w:rFonts w:hint="eastAsia" w:ascii="宋体" w:hAnsi="宋体" w:eastAsia="宋体" w:cs="宋体"/>
          <w:sz w:val="32"/>
          <w:szCs w:val="32"/>
          <w:lang w:val="en-US" w:eastAsia="zh-CN"/>
        </w:rPr>
        <w:t>367.97</w:t>
      </w:r>
      <w:r>
        <w:rPr>
          <w:rFonts w:hint="eastAsia" w:ascii="宋体" w:hAnsi="宋体" w:eastAsia="宋体" w:cs="宋体"/>
          <w:sz w:val="32"/>
          <w:szCs w:val="32"/>
        </w:rPr>
        <w:t>万元，支出决算为</w:t>
      </w:r>
      <w:r>
        <w:rPr>
          <w:rFonts w:hint="eastAsia" w:ascii="宋体" w:hAnsi="宋体" w:eastAsia="宋体" w:cs="宋体"/>
          <w:sz w:val="32"/>
          <w:szCs w:val="32"/>
          <w:lang w:val="en-US" w:eastAsia="zh-CN"/>
        </w:rPr>
        <w:t>362.67</w:t>
      </w:r>
      <w:r>
        <w:rPr>
          <w:rFonts w:hint="eastAsia" w:ascii="宋体" w:hAnsi="宋体" w:eastAsia="宋体" w:cs="宋体"/>
          <w:sz w:val="32"/>
          <w:szCs w:val="32"/>
        </w:rPr>
        <w:t>万元，完成年初预算的</w:t>
      </w:r>
      <w:r>
        <w:rPr>
          <w:rFonts w:hint="eastAsia" w:ascii="宋体" w:hAnsi="宋体" w:eastAsia="宋体" w:cs="宋体"/>
          <w:sz w:val="32"/>
          <w:szCs w:val="32"/>
          <w:lang w:val="en-US" w:eastAsia="zh-CN"/>
        </w:rPr>
        <w:t>0.98</w:t>
      </w:r>
      <w:r>
        <w:rPr>
          <w:rFonts w:hint="eastAsia" w:ascii="宋体" w:hAnsi="宋体" w:eastAsia="宋体" w:cs="宋体"/>
          <w:sz w:val="32"/>
          <w:szCs w:val="32"/>
        </w:rPr>
        <w:t>%。</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六、一般公共预算财政拨款基本支出决算情况说明</w:t>
      </w:r>
    </w:p>
    <w:p>
      <w:pPr>
        <w:widowControl/>
        <w:spacing w:line="59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2017年度一般公共预算财政拨款基本支出592.5万元。与2016年度相比，减少147.43万元。主要原因是巡防队员的工资预算到县公安局。</w:t>
      </w:r>
    </w:p>
    <w:p>
      <w:pPr>
        <w:pStyle w:val="2"/>
        <w:spacing w:before="2" w:line="520" w:lineRule="exact"/>
        <w:ind w:right="270" w:firstLine="633" w:firstLineChars="225"/>
        <w:jc w:val="both"/>
        <w:rPr>
          <w:rFonts w:hint="eastAsia" w:ascii="宋体" w:hAnsi="宋体" w:eastAsia="宋体" w:cs="宋体"/>
          <w:b/>
          <w:bCs/>
          <w:sz w:val="32"/>
          <w:szCs w:val="32"/>
          <w:lang w:val="en-US"/>
        </w:rPr>
      </w:pPr>
      <w:r>
        <w:rPr>
          <w:rFonts w:hint="eastAsia" w:ascii="宋体" w:hAnsi="宋体" w:eastAsia="宋体" w:cs="宋体"/>
          <w:b/>
          <w:bCs/>
          <w:spacing w:val="-20"/>
          <w:sz w:val="32"/>
          <w:szCs w:val="32"/>
          <w:lang w:val="en-US"/>
        </w:rPr>
        <w:t>七、一般公共预算财政拨款“三公”经费支出决算情况说明</w:t>
      </w:r>
    </w:p>
    <w:p>
      <w:pPr>
        <w:pStyle w:val="2"/>
        <w:spacing w:before="2" w:line="520" w:lineRule="exact"/>
        <w:ind w:right="270" w:firstLine="723" w:firstLineChars="225"/>
        <w:jc w:val="both"/>
        <w:rPr>
          <w:rFonts w:hint="eastAsia" w:ascii="宋体" w:hAnsi="宋体" w:eastAsia="宋体" w:cs="宋体"/>
          <w:b/>
          <w:sz w:val="32"/>
          <w:szCs w:val="32"/>
          <w:lang w:val="en-US"/>
        </w:rPr>
      </w:pPr>
      <w:r>
        <w:rPr>
          <w:rFonts w:hint="eastAsia" w:ascii="宋体" w:hAnsi="宋体" w:eastAsia="宋体" w:cs="宋体"/>
          <w:b/>
          <w:sz w:val="32"/>
          <w:szCs w:val="32"/>
          <w:lang w:val="en-US"/>
        </w:rPr>
        <w:t>（一）“三公”经费财政拨款支出决算总体情况说明。</w:t>
      </w:r>
    </w:p>
    <w:p>
      <w:pPr>
        <w:pStyle w:val="2"/>
        <w:spacing w:before="2" w:line="520" w:lineRule="exact"/>
        <w:ind w:right="270" w:firstLine="720" w:firstLineChars="225"/>
        <w:rPr>
          <w:rFonts w:hint="eastAsia" w:ascii="宋体" w:hAnsi="宋体" w:eastAsia="宋体" w:cs="宋体"/>
          <w:sz w:val="32"/>
          <w:szCs w:val="32"/>
          <w:lang w:val="en-US"/>
        </w:rPr>
      </w:pPr>
      <w:r>
        <w:rPr>
          <w:rFonts w:hint="eastAsia" w:ascii="宋体" w:hAnsi="宋体" w:eastAsia="宋体" w:cs="宋体"/>
          <w:sz w:val="32"/>
          <w:szCs w:val="32"/>
          <w:lang w:val="en-US"/>
        </w:rPr>
        <w:t>2017年度“三公”经费财政拨款支出预算为24.8万元，支出决算为16.76万元，完成预算的67.58%。2017年度“三公”经费支出决算数与预算数存在差异的主要原因是公务用车运行维护费及公务接待费用减少。</w:t>
      </w:r>
    </w:p>
    <w:p>
      <w:pPr>
        <w:pStyle w:val="2"/>
        <w:spacing w:before="2" w:line="520" w:lineRule="exact"/>
        <w:ind w:right="270" w:firstLine="723" w:firstLineChars="225"/>
        <w:jc w:val="both"/>
        <w:rPr>
          <w:rFonts w:hint="eastAsia" w:ascii="宋体" w:hAnsi="宋体" w:eastAsia="宋体" w:cs="宋体"/>
          <w:b/>
          <w:sz w:val="32"/>
          <w:szCs w:val="32"/>
          <w:lang w:val="en-US"/>
        </w:rPr>
      </w:pPr>
      <w:r>
        <w:rPr>
          <w:rFonts w:hint="eastAsia" w:ascii="宋体" w:hAnsi="宋体" w:eastAsia="宋体" w:cs="宋体"/>
          <w:b/>
          <w:sz w:val="32"/>
          <w:szCs w:val="32"/>
          <w:lang w:val="en-US"/>
        </w:rPr>
        <w:t>（二）“三公”经费财政拨款支出决算具体情况说明。</w:t>
      </w:r>
    </w:p>
    <w:p>
      <w:pPr>
        <w:pStyle w:val="2"/>
        <w:spacing w:before="2" w:line="520" w:lineRule="exact"/>
        <w:ind w:right="270" w:firstLine="720" w:firstLineChars="225"/>
        <w:jc w:val="both"/>
        <w:rPr>
          <w:rFonts w:hint="eastAsia" w:ascii="宋体" w:hAnsi="宋体" w:eastAsia="宋体" w:cs="宋体"/>
          <w:sz w:val="32"/>
          <w:szCs w:val="32"/>
          <w:lang w:val="en-US"/>
        </w:rPr>
      </w:pPr>
      <w:r>
        <w:rPr>
          <w:rFonts w:hint="eastAsia" w:ascii="宋体" w:hAnsi="宋体" w:eastAsia="宋体" w:cs="宋体"/>
          <w:sz w:val="32"/>
          <w:szCs w:val="32"/>
          <w:lang w:val="en-US"/>
        </w:rPr>
        <w:t xml:space="preserve">2017 年度“三公”经费财政拨款支出决算中，因公出国（境）费支出决算5.16万元，占10.42%，完成预算的 99.23%；公务用车购置及运行费支出决算41.81万元，占 84.46%，完成预算的99.07%；公务接待费支出决算2.08万元，占 5.12%，完成预算的99.04%。具体情况如下： </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bCs/>
          <w:sz w:val="32"/>
          <w:szCs w:val="32"/>
          <w:lang w:val="en-US"/>
        </w:rPr>
        <w:t>1</w:t>
      </w:r>
      <w:r>
        <w:rPr>
          <w:rFonts w:hint="eastAsia" w:ascii="宋体" w:hAnsi="宋体" w:eastAsia="宋体" w:cs="宋体"/>
          <w:sz w:val="32"/>
          <w:szCs w:val="32"/>
          <w:lang w:val="en-US"/>
        </w:rPr>
        <w:t>.</w:t>
      </w:r>
      <w:r>
        <w:rPr>
          <w:rFonts w:hint="eastAsia" w:ascii="宋体" w:hAnsi="宋体" w:eastAsia="宋体" w:cs="宋体"/>
          <w:b/>
          <w:sz w:val="32"/>
          <w:szCs w:val="32"/>
          <w:lang w:val="en-US"/>
        </w:rPr>
        <w:t>因公出国（境）费</w:t>
      </w:r>
      <w:r>
        <w:rPr>
          <w:rFonts w:hint="eastAsia" w:ascii="宋体" w:hAnsi="宋体" w:eastAsia="宋体" w:cs="宋体"/>
          <w:sz w:val="32"/>
          <w:szCs w:val="32"/>
          <w:lang w:val="en-US"/>
        </w:rPr>
        <w:t>支出 0万元。其主要原因政法委机关全年无安排出国（境），没有出国业务。</w:t>
      </w:r>
    </w:p>
    <w:p>
      <w:pPr>
        <w:pStyle w:val="2"/>
        <w:spacing w:before="2" w:line="520" w:lineRule="exact"/>
        <w:ind w:right="270" w:firstLine="723" w:firstLineChars="225"/>
        <w:jc w:val="both"/>
        <w:rPr>
          <w:rFonts w:hint="eastAsia" w:ascii="宋体" w:hAnsi="宋体" w:eastAsia="宋体" w:cs="宋体"/>
          <w:sz w:val="32"/>
          <w:szCs w:val="32"/>
        </w:rPr>
      </w:pPr>
      <w:r>
        <w:rPr>
          <w:rFonts w:hint="eastAsia" w:ascii="宋体" w:hAnsi="宋体" w:eastAsia="宋体" w:cs="宋体"/>
          <w:b/>
          <w:bCs/>
          <w:sz w:val="32"/>
          <w:szCs w:val="32"/>
          <w:lang w:val="en-US"/>
        </w:rPr>
        <w:t>2</w:t>
      </w:r>
      <w:r>
        <w:rPr>
          <w:rFonts w:hint="eastAsia" w:ascii="宋体" w:hAnsi="宋体" w:eastAsia="宋体" w:cs="宋体"/>
          <w:sz w:val="32"/>
          <w:szCs w:val="32"/>
          <w:lang w:val="en-US"/>
        </w:rPr>
        <w:t>.</w:t>
      </w:r>
      <w:r>
        <w:rPr>
          <w:rFonts w:hint="eastAsia" w:ascii="宋体" w:hAnsi="宋体" w:eastAsia="宋体" w:cs="宋体"/>
          <w:b/>
          <w:sz w:val="32"/>
          <w:szCs w:val="32"/>
          <w:lang w:val="en-US"/>
        </w:rPr>
        <w:t>公务用车购置及运行费</w:t>
      </w:r>
      <w:r>
        <w:rPr>
          <w:rFonts w:hint="eastAsia" w:ascii="宋体" w:hAnsi="宋体" w:eastAsia="宋体" w:cs="宋体"/>
          <w:sz w:val="32"/>
          <w:szCs w:val="32"/>
          <w:lang w:val="en-US"/>
        </w:rPr>
        <w:t>13.96万元。</w:t>
      </w:r>
      <w:r>
        <w:rPr>
          <w:rFonts w:hint="eastAsia" w:ascii="宋体" w:hAnsi="宋体" w:cs="宋体"/>
          <w:sz w:val="32"/>
          <w:szCs w:val="32"/>
          <w:lang w:val="en-US" w:eastAsia="zh-CN"/>
        </w:rPr>
        <w:t>公车保有量为2辆，</w:t>
      </w:r>
      <w:r>
        <w:rPr>
          <w:rFonts w:hint="eastAsia" w:ascii="宋体" w:hAnsi="宋体" w:eastAsia="宋体" w:cs="宋体"/>
          <w:sz w:val="32"/>
          <w:szCs w:val="32"/>
        </w:rPr>
        <w:t>公务用车购置及运行费支出决算比2016年度增加1.29万元，其主要原因一是支出决算公开部门增加了维稳办和综治办两个单位；二是维护稳定及平安建设工作任务繁重，下乡督查力度加大。</w:t>
      </w:r>
    </w:p>
    <w:p>
      <w:pPr>
        <w:pStyle w:val="2"/>
        <w:spacing w:before="2" w:line="520" w:lineRule="exact"/>
        <w:ind w:right="270" w:firstLine="723" w:firstLineChars="225"/>
        <w:jc w:val="both"/>
        <w:rPr>
          <w:rFonts w:hint="eastAsia" w:asciiTheme="majorEastAsia" w:hAnsiTheme="majorEastAsia" w:eastAsiaTheme="majorEastAsia" w:cstheme="majorEastAsia"/>
          <w:sz w:val="32"/>
          <w:szCs w:val="32"/>
          <w:lang w:val="en-US"/>
        </w:rPr>
      </w:pPr>
      <w:r>
        <w:rPr>
          <w:rFonts w:hint="eastAsia" w:ascii="宋体" w:hAnsi="宋体" w:eastAsia="宋体" w:cs="宋体"/>
          <w:b/>
          <w:bCs/>
          <w:sz w:val="32"/>
          <w:szCs w:val="32"/>
          <w:lang w:val="en-US"/>
        </w:rPr>
        <w:t>3</w:t>
      </w:r>
      <w:r>
        <w:rPr>
          <w:rFonts w:hint="eastAsia" w:ascii="宋体" w:hAnsi="宋体" w:eastAsia="宋体" w:cs="宋体"/>
          <w:sz w:val="32"/>
          <w:szCs w:val="32"/>
          <w:lang w:val="en-US"/>
        </w:rPr>
        <w:t>.</w:t>
      </w:r>
      <w:r>
        <w:rPr>
          <w:rFonts w:hint="eastAsia" w:ascii="宋体" w:hAnsi="宋体" w:eastAsia="宋体" w:cs="宋体"/>
          <w:b/>
          <w:sz w:val="32"/>
          <w:szCs w:val="32"/>
          <w:lang w:val="en-US"/>
        </w:rPr>
        <w:t>公务接待费</w:t>
      </w:r>
      <w:r>
        <w:rPr>
          <w:rFonts w:hint="eastAsia" w:ascii="宋体" w:hAnsi="宋体" w:eastAsia="宋体" w:cs="宋体"/>
          <w:sz w:val="32"/>
          <w:szCs w:val="32"/>
          <w:lang w:val="en-US"/>
        </w:rPr>
        <w:t>2.8万元。其中国内公务接待支出2.8万元。</w:t>
      </w:r>
      <w:r>
        <w:rPr>
          <w:rFonts w:hint="eastAsia" w:asciiTheme="majorEastAsia" w:hAnsiTheme="majorEastAsia" w:eastAsiaTheme="majorEastAsia" w:cstheme="majorEastAsia"/>
          <w:sz w:val="32"/>
          <w:szCs w:val="32"/>
          <w:lang w:val="en-US"/>
        </w:rPr>
        <w:t>2017 年度共接待国内来访团组</w:t>
      </w:r>
      <w:r>
        <w:rPr>
          <w:rFonts w:hint="eastAsia" w:asciiTheme="majorEastAsia" w:hAnsiTheme="majorEastAsia" w:eastAsiaTheme="majorEastAsia" w:cstheme="majorEastAsia"/>
          <w:sz w:val="32"/>
          <w:szCs w:val="32"/>
          <w:lang w:val="en-US" w:eastAsia="zh-CN"/>
        </w:rPr>
        <w:t>116</w:t>
      </w:r>
      <w:r>
        <w:rPr>
          <w:rFonts w:hint="eastAsia" w:asciiTheme="majorEastAsia" w:hAnsiTheme="majorEastAsia" w:eastAsiaTheme="majorEastAsia" w:cstheme="majorEastAsia"/>
          <w:sz w:val="32"/>
          <w:szCs w:val="32"/>
          <w:lang w:val="en-US"/>
        </w:rPr>
        <w:t>个、来访人员</w:t>
      </w:r>
      <w:r>
        <w:rPr>
          <w:rFonts w:hint="eastAsia" w:asciiTheme="majorEastAsia" w:hAnsiTheme="majorEastAsia" w:eastAsiaTheme="majorEastAsia" w:cstheme="majorEastAsia"/>
          <w:sz w:val="32"/>
          <w:szCs w:val="32"/>
          <w:lang w:val="en-US" w:eastAsia="zh-CN"/>
        </w:rPr>
        <w:t>924</w:t>
      </w:r>
      <w:r>
        <w:rPr>
          <w:rFonts w:hint="eastAsia" w:asciiTheme="majorEastAsia" w:hAnsiTheme="majorEastAsia" w:eastAsiaTheme="majorEastAsia" w:cstheme="majorEastAsia"/>
          <w:sz w:val="32"/>
          <w:szCs w:val="32"/>
          <w:lang w:val="en-US"/>
        </w:rPr>
        <w:t>人次。</w:t>
      </w:r>
      <w:r>
        <w:rPr>
          <w:rFonts w:hint="eastAsia" w:ascii="宋体" w:hAnsi="宋体" w:eastAsia="宋体" w:cs="宋体"/>
          <w:sz w:val="32"/>
          <w:szCs w:val="32"/>
          <w:lang w:val="en-US"/>
        </w:rPr>
        <w:t>公务接待费支出决算比2016年增加了1.66万元。其主要原因是支出决算部门增加了维稳办和综治办两个单位</w:t>
      </w:r>
    </w:p>
    <w:p>
      <w:pPr>
        <w:pStyle w:val="2"/>
        <w:spacing w:before="2" w:line="520" w:lineRule="exact"/>
        <w:ind w:right="270" w:firstLine="723" w:firstLineChars="225"/>
        <w:jc w:val="both"/>
        <w:rPr>
          <w:rFonts w:hint="eastAsia" w:ascii="宋体" w:hAnsi="宋体" w:eastAsia="宋体" w:cs="宋体"/>
          <w:b/>
          <w:bCs/>
          <w:color w:val="FF0000"/>
          <w:sz w:val="32"/>
          <w:szCs w:val="32"/>
          <w:lang w:val="en-US"/>
        </w:rPr>
      </w:pPr>
      <w:r>
        <w:rPr>
          <w:rFonts w:hint="eastAsia" w:ascii="宋体" w:hAnsi="宋体" w:eastAsia="宋体" w:cs="宋体"/>
          <w:b/>
          <w:bCs/>
          <w:color w:val="FF0000"/>
          <w:sz w:val="32"/>
          <w:szCs w:val="32"/>
          <w:lang w:val="en-US"/>
        </w:rPr>
        <w:t>八、重</w:t>
      </w:r>
      <w:bookmarkStart w:id="0" w:name="_GoBack"/>
      <w:bookmarkEnd w:id="0"/>
      <w:r>
        <w:rPr>
          <w:rFonts w:hint="eastAsia" w:ascii="宋体" w:hAnsi="宋体" w:eastAsia="宋体" w:cs="宋体"/>
          <w:b/>
          <w:bCs/>
          <w:color w:val="FF0000"/>
          <w:sz w:val="32"/>
          <w:szCs w:val="32"/>
          <w:lang w:val="en-US"/>
        </w:rPr>
        <w:t>点绩效评价结果等预算绩效情况说明</w:t>
      </w:r>
    </w:p>
    <w:p>
      <w:pPr>
        <w:pStyle w:val="2"/>
        <w:spacing w:before="2" w:line="520" w:lineRule="exact"/>
        <w:ind w:right="270" w:firstLine="480" w:firstLineChars="150"/>
        <w:jc w:val="both"/>
        <w:rPr>
          <w:rFonts w:hint="eastAsia" w:ascii="宋体" w:hAnsi="宋体" w:eastAsia="宋体" w:cs="宋体"/>
          <w:sz w:val="32"/>
          <w:szCs w:val="32"/>
          <w:lang w:val="en-US"/>
        </w:rPr>
      </w:pPr>
      <w:r>
        <w:rPr>
          <w:rFonts w:hint="eastAsia" w:ascii="宋体" w:hAnsi="宋体" w:eastAsia="宋体" w:cs="宋体"/>
          <w:sz w:val="32"/>
          <w:szCs w:val="32"/>
          <w:lang w:val="en-US"/>
        </w:rPr>
        <w:t>（一）绩效管理工作开展情况。</w:t>
      </w:r>
    </w:p>
    <w:p>
      <w:pPr>
        <w:widowControl/>
        <w:shd w:val="clear" w:color="auto" w:fill="FFFFFF"/>
        <w:ind w:firstLine="640" w:firstLineChars="200"/>
        <w:rPr>
          <w:rFonts w:hint="eastAsia" w:ascii="宋体" w:hAnsi="宋体" w:eastAsia="宋体" w:cs="宋体"/>
          <w:color w:val="666666"/>
          <w:sz w:val="32"/>
          <w:szCs w:val="32"/>
          <w:shd w:val="clear" w:color="auto" w:fill="FFFFFF"/>
        </w:rPr>
      </w:pPr>
      <w:r>
        <w:rPr>
          <w:rFonts w:hint="eastAsia" w:ascii="宋体" w:hAnsi="宋体" w:eastAsia="宋体" w:cs="宋体"/>
          <w:sz w:val="32"/>
          <w:szCs w:val="32"/>
        </w:rPr>
        <w:t>2017年，政法委机关严格预算开支，建立有效的财务支出约束机制，比如加强经费管理制度、财务人员管理职责等综合性的管理制度，加强办公费、印刷费等单项管理制度，加强公务接待、车辆等相关性的管理制度。做到有章可循，按制办事，以堵塞漏洞，节约资金，防止资金支出中的跑、冒、滴、漏，最大限度地提高资金的使用效益。</w:t>
      </w:r>
    </w:p>
    <w:p>
      <w:pPr>
        <w:pStyle w:val="2"/>
        <w:numPr>
          <w:ilvl w:val="0"/>
          <w:numId w:val="1"/>
        </w:numPr>
        <w:spacing w:before="2" w:line="520" w:lineRule="exact"/>
        <w:ind w:right="270" w:firstLine="640" w:firstLineChars="200"/>
        <w:jc w:val="both"/>
        <w:rPr>
          <w:rFonts w:hint="eastAsia" w:ascii="宋体" w:hAnsi="宋体" w:eastAsia="宋体" w:cs="宋体"/>
          <w:color w:val="auto"/>
          <w:sz w:val="32"/>
          <w:szCs w:val="32"/>
          <w:lang w:val="en-US"/>
        </w:rPr>
      </w:pPr>
      <w:r>
        <w:rPr>
          <w:rFonts w:hint="eastAsia" w:ascii="宋体" w:hAnsi="宋体" w:eastAsia="宋体" w:cs="宋体"/>
          <w:color w:val="auto"/>
          <w:sz w:val="32"/>
          <w:szCs w:val="32"/>
          <w:lang w:val="en-US"/>
        </w:rPr>
        <w:t>项目绩效自评结果。</w:t>
      </w:r>
    </w:p>
    <w:p>
      <w:pPr>
        <w:pStyle w:val="2"/>
        <w:numPr>
          <w:ilvl w:val="0"/>
          <w:numId w:val="0"/>
        </w:numPr>
        <w:spacing w:before="2" w:line="520" w:lineRule="exact"/>
        <w:ind w:right="270" w:rightChars="0"/>
        <w:jc w:val="both"/>
        <w:rPr>
          <w:rFonts w:hint="eastAsia" w:eastAsia="仿宋_GB2312"/>
          <w:lang w:val="en-US" w:eastAsia="zh-CN"/>
        </w:rPr>
      </w:pPr>
      <w:r>
        <w:rPr>
          <w:rFonts w:hint="eastAsia"/>
          <w:lang w:val="en-US" w:eastAsia="zh-CN"/>
        </w:rPr>
        <w:t xml:space="preserve">             </w:t>
      </w:r>
      <w:r>
        <w:rPr>
          <w:rFonts w:hint="eastAsia" w:ascii="仿宋_GB2312" w:hAnsi="仿宋_GB2312" w:eastAsia="仿宋_GB2312" w:cs="仿宋_GB2312"/>
          <w:sz w:val="32"/>
          <w:szCs w:val="32"/>
          <w:lang w:val="en-US"/>
        </w:rPr>
        <w:t>2017年度，本单位没有民生项目和重点支出项目，所以未开展预算绩效评价</w:t>
      </w:r>
      <w:r>
        <w:rPr>
          <w:rFonts w:hint="eastAsia" w:cs="仿宋_GB2312"/>
          <w:sz w:val="32"/>
          <w:szCs w:val="32"/>
          <w:lang w:val="en-US" w:eastAsia="zh-CN"/>
        </w:rPr>
        <w:t>。</w:t>
      </w:r>
    </w:p>
    <w:p>
      <w:pPr>
        <w:pStyle w:val="2"/>
        <w:spacing w:before="2" w:line="520" w:lineRule="exact"/>
        <w:ind w:right="270" w:firstLine="643" w:firstLineChars="200"/>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九、政府性基金预算财政拨款支出决算情况说明</w:t>
      </w:r>
    </w:p>
    <w:p>
      <w:pPr>
        <w:widowControl/>
        <w:spacing w:line="59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2017年度政府性基金预算财政拨款支出年初预算为0万元，支出决算为0万元，其主要原因政法委机关没有政府性基金支出。</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十、机关运行经费支出情况说明</w:t>
      </w:r>
    </w:p>
    <w:p>
      <w:pPr>
        <w:widowControl/>
        <w:spacing w:line="59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2017年度机关运行经费支出0万元， 其主要原因是政法委机关无此项经费预算和支出。</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十一、政府采购支出情况说明</w:t>
      </w:r>
    </w:p>
    <w:p>
      <w:pPr>
        <w:pStyle w:val="2"/>
        <w:spacing w:before="2" w:line="520" w:lineRule="exact"/>
        <w:ind w:right="270" w:firstLine="720" w:firstLineChars="225"/>
        <w:rPr>
          <w:rFonts w:hint="eastAsia" w:ascii="宋体" w:hAnsi="宋体" w:eastAsia="宋体" w:cs="宋体"/>
          <w:sz w:val="32"/>
          <w:szCs w:val="32"/>
          <w:lang w:val="en-US"/>
        </w:rPr>
      </w:pPr>
      <w:r>
        <w:rPr>
          <w:rFonts w:hint="eastAsia" w:ascii="宋体" w:hAnsi="宋体" w:eastAsia="宋体" w:cs="宋体"/>
          <w:sz w:val="32"/>
          <w:szCs w:val="32"/>
          <w:lang w:val="en-US"/>
        </w:rPr>
        <w:t>2017年度政府采购支出总额0万元。其主要原因是政法委机关一次性购置所需物品没达到政府采购部门要求的标准。</w:t>
      </w:r>
    </w:p>
    <w:p>
      <w:pPr>
        <w:pStyle w:val="2"/>
        <w:spacing w:before="2" w:line="520" w:lineRule="exact"/>
        <w:ind w:right="270" w:firstLine="723" w:firstLineChars="225"/>
        <w:jc w:val="both"/>
        <w:rPr>
          <w:rFonts w:hint="eastAsia" w:ascii="宋体" w:hAnsi="宋体" w:eastAsia="宋体" w:cs="宋体"/>
          <w:b/>
          <w:bCs/>
          <w:sz w:val="32"/>
          <w:szCs w:val="32"/>
          <w:lang w:val="en-US"/>
        </w:rPr>
      </w:pPr>
      <w:r>
        <w:rPr>
          <w:rFonts w:hint="eastAsia" w:ascii="宋体" w:hAnsi="宋体" w:eastAsia="宋体" w:cs="宋体"/>
          <w:b/>
          <w:bCs/>
          <w:sz w:val="32"/>
          <w:szCs w:val="32"/>
          <w:lang w:val="en-US"/>
        </w:rPr>
        <w:t>十二、国有资产占用情况说明</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宋体" w:hAnsi="宋体" w:eastAsia="宋体" w:cs="宋体"/>
          <w:sz w:val="32"/>
          <w:szCs w:val="32"/>
        </w:rPr>
        <w:t>2017年期末，政法委共有车辆2部，均是县机关事务局统一配备。</w:t>
      </w:r>
      <w:r>
        <w:rPr>
          <w:rFonts w:hint="eastAsia" w:cs="仿宋_GB2312"/>
          <w:color w:val="auto"/>
          <w:sz w:val="32"/>
          <w:szCs w:val="32"/>
          <w:highlight w:val="none"/>
          <w:lang w:val="en-US" w:eastAsia="zh-CN"/>
        </w:rPr>
        <w:t>单位价值50万元以上通用设备0台（套），单位价值100万元以上专用设备0台（套）。</w:t>
      </w:r>
    </w:p>
    <w:p>
      <w:pPr>
        <w:widowControl/>
        <w:spacing w:line="590" w:lineRule="exact"/>
        <w:ind w:firstLine="640" w:firstLineChars="200"/>
        <w:rPr>
          <w:rFonts w:hint="eastAsia" w:ascii="宋体" w:hAnsi="宋体" w:eastAsia="宋体" w:cs="宋体"/>
          <w:sz w:val="32"/>
          <w:szCs w:val="32"/>
        </w:rPr>
      </w:pPr>
    </w:p>
    <w:p>
      <w:pPr>
        <w:tabs>
          <w:tab w:val="left" w:pos="3993"/>
        </w:tabs>
        <w:spacing w:before="32" w:line="520" w:lineRule="exact"/>
        <w:ind w:firstLine="720" w:firstLineChars="225"/>
        <w:jc w:val="center"/>
        <w:rPr>
          <w:rFonts w:hint="eastAsia" w:ascii="宋体" w:hAnsi="宋体" w:eastAsia="宋体" w:cs="宋体"/>
          <w:sz w:val="32"/>
          <w:szCs w:val="32"/>
        </w:rPr>
      </w:pPr>
    </w:p>
    <w:p>
      <w:pPr>
        <w:tabs>
          <w:tab w:val="left" w:pos="3993"/>
        </w:tabs>
        <w:spacing w:before="32" w:line="520" w:lineRule="exact"/>
        <w:ind w:firstLine="720" w:firstLineChars="225"/>
        <w:jc w:val="center"/>
        <w:rPr>
          <w:rFonts w:hint="eastAsia" w:ascii="宋体" w:hAnsi="宋体" w:eastAsia="宋体" w:cs="宋体"/>
          <w:sz w:val="32"/>
          <w:szCs w:val="32"/>
        </w:rPr>
      </w:pPr>
    </w:p>
    <w:p>
      <w:pPr>
        <w:tabs>
          <w:tab w:val="left" w:pos="3993"/>
        </w:tabs>
        <w:spacing w:before="32" w:line="520" w:lineRule="exact"/>
        <w:ind w:firstLine="720" w:firstLineChars="225"/>
        <w:jc w:val="center"/>
        <w:rPr>
          <w:rFonts w:hint="eastAsia" w:ascii="宋体" w:hAnsi="宋体" w:eastAsia="宋体" w:cs="宋体"/>
          <w:sz w:val="32"/>
          <w:szCs w:val="32"/>
        </w:rPr>
      </w:pPr>
    </w:p>
    <w:p>
      <w:pPr>
        <w:tabs>
          <w:tab w:val="left" w:pos="3993"/>
        </w:tabs>
        <w:spacing w:before="32" w:line="520" w:lineRule="exact"/>
        <w:jc w:val="both"/>
        <w:rPr>
          <w:rFonts w:hint="eastAsia" w:ascii="宋体" w:hAnsi="宋体" w:eastAsia="宋体" w:cs="宋体"/>
          <w:b/>
          <w:bCs/>
          <w:sz w:val="32"/>
          <w:szCs w:val="32"/>
        </w:rPr>
      </w:pPr>
      <w:r>
        <w:rPr>
          <w:rFonts w:hint="eastAsia" w:ascii="宋体" w:hAnsi="宋体" w:eastAsia="宋体" w:cs="宋体"/>
          <w:sz w:val="32"/>
          <w:szCs w:val="32"/>
          <w:lang w:val="en-US" w:eastAsia="zh-CN"/>
        </w:rPr>
        <w:t xml:space="preserve">                 </w:t>
      </w:r>
      <w:r>
        <w:rPr>
          <w:rFonts w:hint="eastAsia" w:ascii="宋体" w:hAnsi="宋体" w:eastAsia="宋体" w:cs="宋体"/>
          <w:b/>
          <w:bCs/>
          <w:sz w:val="32"/>
          <w:szCs w:val="32"/>
        </w:rPr>
        <w:t>第</w:t>
      </w:r>
      <w:r>
        <w:rPr>
          <w:rFonts w:hint="eastAsia" w:ascii="宋体" w:hAnsi="宋体" w:eastAsia="宋体" w:cs="宋体"/>
          <w:b/>
          <w:bCs/>
          <w:sz w:val="32"/>
          <w:szCs w:val="32"/>
          <w:lang w:val="en-US"/>
        </w:rPr>
        <w:t>三</w:t>
      </w:r>
      <w:r>
        <w:rPr>
          <w:rFonts w:hint="eastAsia" w:ascii="宋体" w:hAnsi="宋体" w:eastAsia="宋体" w:cs="宋体"/>
          <w:b/>
          <w:bCs/>
          <w:sz w:val="32"/>
          <w:szCs w:val="32"/>
        </w:rPr>
        <w:t>部分 名词解释</w:t>
      </w:r>
    </w:p>
    <w:p>
      <w:pPr>
        <w:pStyle w:val="2"/>
        <w:spacing w:before="2" w:line="520" w:lineRule="exact"/>
        <w:ind w:right="270" w:firstLine="723" w:firstLineChars="225"/>
        <w:jc w:val="both"/>
        <w:rPr>
          <w:rFonts w:hint="eastAsia" w:ascii="宋体" w:hAnsi="宋体" w:eastAsia="宋体" w:cs="宋体"/>
          <w:b/>
          <w:sz w:val="32"/>
          <w:szCs w:val="32"/>
          <w:lang w:val="en-US"/>
        </w:rPr>
      </w:pPr>
    </w:p>
    <w:p>
      <w:pPr>
        <w:pStyle w:val="2"/>
        <w:spacing w:before="2" w:line="520" w:lineRule="exact"/>
        <w:ind w:right="270"/>
        <w:jc w:val="both"/>
        <w:rPr>
          <w:rFonts w:hint="eastAsia" w:ascii="宋体" w:hAnsi="宋体" w:eastAsia="宋体" w:cs="宋体"/>
          <w:sz w:val="32"/>
          <w:szCs w:val="32"/>
          <w:lang w:val="en-US"/>
        </w:rPr>
      </w:pPr>
      <w:r>
        <w:rPr>
          <w:rFonts w:hint="eastAsia" w:ascii="宋体" w:hAnsi="宋体" w:eastAsia="宋体" w:cs="宋体"/>
          <w:b/>
          <w:sz w:val="32"/>
          <w:szCs w:val="32"/>
          <w:lang w:val="en-US" w:eastAsia="zh-CN"/>
        </w:rPr>
        <w:t xml:space="preserve">    </w:t>
      </w:r>
      <w:r>
        <w:rPr>
          <w:rFonts w:hint="eastAsia" w:ascii="宋体" w:hAnsi="宋体" w:eastAsia="宋体" w:cs="宋体"/>
          <w:b/>
          <w:sz w:val="32"/>
          <w:szCs w:val="32"/>
          <w:lang w:val="en-US"/>
        </w:rPr>
        <w:t>一、财政拨款收入</w:t>
      </w:r>
      <w:r>
        <w:rPr>
          <w:rFonts w:hint="eastAsia" w:ascii="宋体" w:hAnsi="宋体" w:eastAsia="宋体" w:cs="宋体"/>
          <w:sz w:val="32"/>
          <w:szCs w:val="32"/>
          <w:lang w:val="en-US"/>
        </w:rPr>
        <w:t>：指省级财政当年拨付的资金。</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二、事业收入</w:t>
      </w:r>
      <w:r>
        <w:rPr>
          <w:rFonts w:hint="eastAsia" w:ascii="宋体" w:hAnsi="宋体" w:eastAsia="宋体" w:cs="宋体"/>
          <w:sz w:val="32"/>
          <w:szCs w:val="32"/>
          <w:lang w:val="en-US"/>
        </w:rPr>
        <w:t>：指事业单位开展专业活动及辅助活动所取得的收入。</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三、其他收入</w:t>
      </w:r>
      <w:r>
        <w:rPr>
          <w:rFonts w:hint="eastAsia" w:ascii="宋体" w:hAnsi="宋体" w:eastAsia="宋体" w:cs="宋体"/>
          <w:sz w:val="32"/>
          <w:szCs w:val="32"/>
          <w:lang w:val="en-US"/>
        </w:rPr>
        <w:t>：指部门取得的除“财政拨款”、“事业收入”、“事业单位经营收入”等以外的收入。</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四、年初结转和结余</w:t>
      </w:r>
      <w:r>
        <w:rPr>
          <w:rFonts w:hint="eastAsia" w:ascii="宋体" w:hAnsi="宋体" w:eastAsia="宋体" w:cs="宋体"/>
          <w:sz w:val="32"/>
          <w:szCs w:val="32"/>
          <w:lang w:val="en-US"/>
        </w:rPr>
        <w:t>：指以前年度尚未完成、结转到本年</w:t>
      </w:r>
    </w:p>
    <w:p>
      <w:pPr>
        <w:pStyle w:val="2"/>
        <w:spacing w:before="2" w:line="520" w:lineRule="exact"/>
        <w:ind w:right="270" w:firstLine="720" w:firstLineChars="225"/>
        <w:jc w:val="both"/>
        <w:rPr>
          <w:rFonts w:hint="eastAsia" w:ascii="宋体" w:hAnsi="宋体" w:eastAsia="宋体" w:cs="宋体"/>
          <w:sz w:val="32"/>
          <w:szCs w:val="32"/>
          <w:lang w:val="en-US"/>
        </w:rPr>
      </w:pPr>
      <w:r>
        <w:rPr>
          <w:rFonts w:hint="eastAsia" w:ascii="宋体" w:hAnsi="宋体" w:eastAsia="宋体" w:cs="宋体"/>
          <w:sz w:val="32"/>
          <w:szCs w:val="32"/>
          <w:lang w:val="en-US"/>
        </w:rPr>
        <w:t>按有关规定继续使用的资金。</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五、社会保障和就业（类）行政事业单位离退休（款）归口管理的行政单位离退休（项）</w:t>
      </w:r>
      <w:r>
        <w:rPr>
          <w:rFonts w:hint="eastAsia" w:ascii="宋体" w:hAnsi="宋体" w:eastAsia="宋体" w:cs="宋体"/>
          <w:sz w:val="32"/>
          <w:szCs w:val="32"/>
          <w:lang w:val="en-US"/>
        </w:rPr>
        <w:t>：反映实行归口管理的行政单位（包括实行公务员管理的事业单位）开支的离退休经费。</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六、社会保障和就业（类）行政事业单位离退休（款）事业单位离退休（项）</w:t>
      </w:r>
      <w:r>
        <w:rPr>
          <w:rFonts w:hint="eastAsia" w:ascii="宋体" w:hAnsi="宋体" w:eastAsia="宋体" w:cs="宋体"/>
          <w:sz w:val="32"/>
          <w:szCs w:val="32"/>
          <w:lang w:val="en-US"/>
        </w:rPr>
        <w:t>：反映实行归口管理的事业单位开支的离退休经费。</w:t>
      </w:r>
    </w:p>
    <w:p>
      <w:pPr>
        <w:pStyle w:val="2"/>
        <w:spacing w:before="2" w:line="520" w:lineRule="exact"/>
        <w:ind w:right="270" w:firstLine="723" w:firstLineChars="225"/>
        <w:jc w:val="both"/>
        <w:rPr>
          <w:rFonts w:hint="eastAsia" w:ascii="宋体" w:hAnsi="宋体" w:eastAsia="宋体" w:cs="宋体"/>
          <w:b/>
          <w:sz w:val="32"/>
          <w:szCs w:val="32"/>
          <w:lang w:val="en-US"/>
        </w:rPr>
      </w:pPr>
      <w:r>
        <w:rPr>
          <w:rFonts w:hint="eastAsia" w:ascii="宋体" w:hAnsi="宋体" w:eastAsia="宋体" w:cs="宋体"/>
          <w:b/>
          <w:sz w:val="32"/>
          <w:szCs w:val="32"/>
          <w:lang w:val="en-US"/>
        </w:rPr>
        <w:t>七、社会保障和就业（类）行政事业单位离退休（款）</w:t>
      </w:r>
    </w:p>
    <w:p>
      <w:pPr>
        <w:pStyle w:val="2"/>
        <w:spacing w:before="2" w:line="520" w:lineRule="exact"/>
        <w:ind w:right="270" w:firstLine="720" w:firstLineChars="225"/>
        <w:jc w:val="both"/>
        <w:rPr>
          <w:rFonts w:hint="eastAsia" w:ascii="宋体" w:hAnsi="宋体" w:eastAsia="宋体" w:cs="宋体"/>
          <w:sz w:val="32"/>
          <w:szCs w:val="32"/>
          <w:lang w:val="en-US"/>
        </w:rPr>
      </w:pPr>
      <w:r>
        <w:rPr>
          <w:rFonts w:hint="eastAsia" w:ascii="宋体" w:hAnsi="宋体" w:eastAsia="宋体" w:cs="宋体"/>
          <w:sz w:val="32"/>
          <w:szCs w:val="32"/>
          <w:lang w:val="en-US"/>
        </w:rPr>
        <w:t>机关事业单位基本养老保险缴费支出（项）：反映机关事业单位实施养老保险制度由单位缴纳的基本养老保险费支出。</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八、社会保障和就业（类）抚恤（款）死亡抚恤（项）</w:t>
      </w:r>
      <w:r>
        <w:rPr>
          <w:rFonts w:hint="eastAsia" w:ascii="宋体" w:hAnsi="宋体" w:eastAsia="宋体" w:cs="宋体"/>
          <w:sz w:val="32"/>
          <w:szCs w:val="32"/>
          <w:lang w:val="en-US"/>
        </w:rPr>
        <w:t>：反映按规定用于烈士和牺牲、病故人员家属的一次性和定期抚恤金以及丧葬补助费。</w:t>
      </w:r>
    </w:p>
    <w:p>
      <w:pPr>
        <w:pStyle w:val="2"/>
        <w:spacing w:before="2" w:line="520" w:lineRule="exact"/>
        <w:ind w:right="270" w:firstLine="723" w:firstLineChars="225"/>
        <w:jc w:val="both"/>
        <w:rPr>
          <w:rFonts w:hint="eastAsia" w:ascii="宋体" w:hAnsi="宋体" w:eastAsia="宋体" w:cs="宋体"/>
          <w:b/>
          <w:sz w:val="32"/>
          <w:szCs w:val="32"/>
          <w:lang w:val="en-US"/>
        </w:rPr>
      </w:pPr>
      <w:r>
        <w:rPr>
          <w:rFonts w:hint="eastAsia" w:ascii="宋体" w:hAnsi="宋体" w:eastAsia="宋体" w:cs="宋体"/>
          <w:b/>
          <w:sz w:val="32"/>
          <w:szCs w:val="32"/>
          <w:lang w:val="en-US"/>
        </w:rPr>
        <w:t>九、医疗卫生与计划生育（类）医疗保障（款）行政单位医疗（项）</w:t>
      </w:r>
      <w:r>
        <w:rPr>
          <w:rFonts w:hint="eastAsia" w:ascii="宋体" w:hAnsi="宋体" w:eastAsia="宋体" w:cs="宋体"/>
          <w:sz w:val="32"/>
          <w:szCs w:val="32"/>
          <w:lang w:val="en-US"/>
        </w:rPr>
        <w:t>：反映财政部门集中安排的行政单位基本医疗保险缴费经费，未参加医疗保险的行政单位的公费医疗经费，按国家规定享受离休人员待遇的医疗经费。</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十、医疗卫生与计划生育（类）医疗保障（款）事业单位医疗（项）</w:t>
      </w:r>
      <w:r>
        <w:rPr>
          <w:rFonts w:hint="eastAsia" w:ascii="宋体" w:hAnsi="宋体" w:eastAsia="宋体" w:cs="宋体"/>
          <w:sz w:val="32"/>
          <w:szCs w:val="32"/>
          <w:lang w:val="en-US"/>
        </w:rPr>
        <w:t>：反映财政部门集中安排的行政单位基本医疗保险缴费经费，未参加医疗保险的事业单位的公费医疗经费，按国家规定享受离休人员待遇的医疗经费。</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十一、住房保障（类）住房改革支出（款）住房公积金（项）：</w:t>
      </w:r>
      <w:r>
        <w:rPr>
          <w:rFonts w:hint="eastAsia" w:ascii="宋体" w:hAnsi="宋体" w:eastAsia="宋体" w:cs="宋体"/>
          <w:sz w:val="32"/>
          <w:szCs w:val="32"/>
          <w:lang w:val="en-US"/>
        </w:rPr>
        <w:t>反映行政事业单位按人力资源和社会保障部、财政部规定的基本工资和津贴补贴以及规定比例为职工缴纳的住房公积金。</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十二、年末结转和结余：</w:t>
      </w:r>
      <w:r>
        <w:rPr>
          <w:rFonts w:hint="eastAsia" w:ascii="宋体" w:hAnsi="宋体" w:eastAsia="宋体" w:cs="宋体"/>
          <w:sz w:val="32"/>
          <w:szCs w:val="32"/>
          <w:lang w:val="en-US"/>
        </w:rPr>
        <w:t>指本年度或以前年度预算安排、因客观条件发生变化无法按原计划实施，需要延迟到以后年度按有关规定继续使用的资金。</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十三、基本支出</w:t>
      </w:r>
      <w:r>
        <w:rPr>
          <w:rFonts w:hint="eastAsia" w:ascii="宋体" w:hAnsi="宋体" w:eastAsia="宋体" w:cs="宋体"/>
          <w:sz w:val="32"/>
          <w:szCs w:val="32"/>
          <w:lang w:val="en-US"/>
        </w:rPr>
        <w:t>：指为保障机构正常运转、完成日常工作任务而发生的人员支出和公用支出。</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十四、项目支出：</w:t>
      </w:r>
      <w:r>
        <w:rPr>
          <w:rFonts w:hint="eastAsia" w:ascii="宋体" w:hAnsi="宋体" w:eastAsia="宋体" w:cs="宋体"/>
          <w:sz w:val="32"/>
          <w:szCs w:val="32"/>
          <w:lang w:val="en-US"/>
        </w:rPr>
        <w:t>指在基本支出之外为完成特定行政任务和事业发展目标所发生的支出。</w:t>
      </w:r>
    </w:p>
    <w:p>
      <w:pPr>
        <w:pStyle w:val="2"/>
        <w:spacing w:before="2" w:line="520" w:lineRule="exact"/>
        <w:ind w:right="270" w:firstLine="723" w:firstLineChars="225"/>
        <w:jc w:val="both"/>
        <w:rPr>
          <w:rFonts w:hint="eastAsia" w:ascii="宋体" w:hAnsi="宋体" w:eastAsia="宋体" w:cs="宋体"/>
          <w:sz w:val="32"/>
          <w:szCs w:val="32"/>
          <w:lang w:val="en-US"/>
        </w:rPr>
      </w:pPr>
      <w:r>
        <w:rPr>
          <w:rFonts w:hint="eastAsia" w:ascii="宋体" w:hAnsi="宋体" w:eastAsia="宋体" w:cs="宋体"/>
          <w:b/>
          <w:sz w:val="32"/>
          <w:szCs w:val="32"/>
          <w:lang w:val="en-US"/>
        </w:rPr>
        <w:t>十五、“三公”经费</w:t>
      </w:r>
      <w:r>
        <w:rPr>
          <w:rFonts w:hint="eastAsia" w:ascii="宋体" w:hAnsi="宋体" w:eastAsia="宋体" w:cs="宋体"/>
          <w:sz w:val="32"/>
          <w:szCs w:val="32"/>
          <w:lang w:val="en-US"/>
        </w:rPr>
        <w:t>：指纳入省级财政预算管理，部门使</w:t>
      </w:r>
    </w:p>
    <w:p>
      <w:pPr>
        <w:pStyle w:val="2"/>
        <w:spacing w:before="2" w:line="520" w:lineRule="exact"/>
        <w:ind w:right="270" w:firstLine="720" w:firstLineChars="225"/>
        <w:jc w:val="both"/>
        <w:rPr>
          <w:rFonts w:hint="eastAsia" w:ascii="宋体" w:hAnsi="宋体" w:eastAsia="宋体" w:cs="宋体"/>
          <w:sz w:val="32"/>
          <w:szCs w:val="32"/>
          <w:lang w:val="en-US"/>
        </w:rPr>
      </w:pPr>
      <w:r>
        <w:rPr>
          <w:rFonts w:hint="eastAsia" w:ascii="宋体" w:hAnsi="宋体" w:eastAsia="宋体" w:cs="宋体"/>
          <w:sz w:val="32"/>
          <w:szCs w:val="32"/>
          <w:lang w:val="en-US"/>
        </w:rPr>
        <w:t xml:space="preserve">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2"/>
        <w:spacing w:before="2" w:line="520" w:lineRule="exact"/>
        <w:ind w:right="270"/>
        <w:jc w:val="both"/>
        <w:rPr>
          <w:rFonts w:hint="eastAsia" w:ascii="宋体" w:hAnsi="宋体" w:eastAsia="宋体" w:cs="宋体"/>
          <w:sz w:val="32"/>
          <w:szCs w:val="32"/>
          <w:lang w:val="en-US"/>
        </w:rPr>
      </w:pPr>
    </w:p>
    <w:p>
      <w:pPr>
        <w:pStyle w:val="2"/>
        <w:tabs>
          <w:tab w:val="left" w:pos="2027"/>
        </w:tabs>
        <w:spacing w:line="406" w:lineRule="exact"/>
        <w:rPr>
          <w:rFonts w:hint="eastAsia" w:ascii="宋体" w:hAnsi="宋体" w:eastAsia="宋体" w:cs="宋体"/>
          <w:sz w:val="32"/>
          <w:szCs w:val="32"/>
        </w:rPr>
      </w:pPr>
      <w:r>
        <w:rPr>
          <w:rFonts w:hint="eastAsia" w:ascii="宋体" w:hAnsi="宋体" w:eastAsia="宋体" w:cs="宋体"/>
          <w:sz w:val="32"/>
          <w:szCs w:val="32"/>
          <w:lang w:val="en-US"/>
        </w:rPr>
        <w:t>附件：</w:t>
      </w:r>
      <w:r>
        <w:rPr>
          <w:rFonts w:hint="eastAsia" w:ascii="宋体" w:hAnsi="宋体" w:eastAsia="宋体" w:cs="宋体"/>
          <w:sz w:val="32"/>
          <w:szCs w:val="32"/>
        </w:rPr>
        <w:t>2017年度部门决算表</w:t>
      </w:r>
    </w:p>
    <w:p>
      <w:pPr>
        <w:pStyle w:val="2"/>
        <w:spacing w:before="2" w:line="520" w:lineRule="exact"/>
        <w:ind w:left="317" w:right="270" w:firstLine="640" w:firstLineChars="200"/>
        <w:jc w:val="both"/>
        <w:rPr>
          <w:rFonts w:hint="eastAsia" w:ascii="宋体" w:hAnsi="宋体" w:eastAsia="宋体" w:cs="宋体"/>
          <w:sz w:val="32"/>
          <w:szCs w:val="32"/>
          <w:lang w:val="en-US"/>
        </w:rPr>
      </w:pPr>
    </w:p>
    <w:p>
      <w:pPr>
        <w:pStyle w:val="2"/>
        <w:spacing w:before="2" w:line="520" w:lineRule="exact"/>
        <w:ind w:left="317" w:right="270" w:firstLine="640" w:firstLineChars="200"/>
        <w:jc w:val="both"/>
        <w:rPr>
          <w:rFonts w:hint="eastAsia" w:ascii="宋体" w:hAnsi="宋体" w:eastAsia="宋体" w:cs="宋体"/>
          <w:sz w:val="32"/>
          <w:szCs w:val="32"/>
          <w:lang w:val="en-US"/>
        </w:rPr>
      </w:pPr>
    </w:p>
    <w:p>
      <w:pPr>
        <w:pStyle w:val="2"/>
        <w:spacing w:before="2" w:line="520" w:lineRule="exact"/>
        <w:ind w:left="317" w:right="270" w:firstLine="640" w:firstLineChars="200"/>
        <w:jc w:val="both"/>
        <w:rPr>
          <w:rFonts w:hint="eastAsia" w:ascii="宋体" w:hAnsi="宋体" w:eastAsia="宋体" w:cs="宋体"/>
          <w:sz w:val="32"/>
          <w:szCs w:val="32"/>
          <w:lang w:val="en-US"/>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_GB2312">
    <w:altName w:val="Times New Roman"/>
    <w:panose1 w:val="00000000000000000000"/>
    <w:charset w:val="00"/>
    <w:family w:val="auto"/>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_GB2312" w:hAnsi="??_GB2312" w:eastAsia="宋体" w:cs="??_GB2312"/>
        <w:kern w:val="0"/>
        <w:sz w:val="18"/>
        <w:szCs w:val="18"/>
        <w:lang w:val="en-US" w:eastAsia="zh-CN" w:bidi="ar-SA"/>
      </w:rPr>
      <w:pict>
        <v:shape id="_x0000_s2049" o:spid="_x0000_s2049" o:spt="202" type="#_x0000_t202"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_GB2312" w:hAnsi="??_GB2312" w:eastAsia="宋体" w:cs="??_GB2312"/>
        <w:kern w:val="0"/>
        <w:sz w:val="22"/>
        <w:szCs w:val="22"/>
        <w:lang w:val="en-US" w:eastAsia="zh-CN" w:bidi="ar-SA"/>
      </w:rPr>
      <w:pict>
        <v:shape id="_x0000_s2050" o:spid="_x0000_s2050" o:spt="202" type="#_x0000_t202"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tabs>
                    <w:tab w:val="center" w:pos="4153"/>
                    <w:tab w:val="right" w:pos="8306"/>
                  </w:tabs>
                </w:pPr>
                <w:r>
                  <w:fldChar w:fldCharType="begin"/>
                </w:r>
                <w:r>
                  <w:instrText xml:space="preserve"> PAGE  \* MERGEFORMAT </w:instrText>
                </w:r>
                <w:r>
                  <w:fldChar w:fldCharType="separate"/>
                </w:r>
                <w:r>
                  <w:t>1</w:t>
                </w:r>
                <w:r>
                  <w:fldChar w:fldCharType="end"/>
                </w:r>
              </w:p>
            </w:txbxContent>
          </v:textbox>
        </v:shape>
      </w:pict>
    </w:r>
    <w:r>
      <w:rPr>
        <w:rFonts w:ascii="??_GB2312" w:hAnsi="??_GB2312" w:eastAsia="宋体" w:cs="??_GB2312"/>
        <w:kern w:val="0"/>
        <w:sz w:val="22"/>
        <w:szCs w:val="22"/>
        <w:lang w:val="en-US" w:eastAsia="zh-CN" w:bidi="ar-SA"/>
      </w:rPr>
      <w:pict>
        <v:shape id="_x0000_s2051" o:spid="_x0000_s2051" o:spt="202" type="#_x0000_t202" style="position:absolute;left:0pt;margin-left:289.15pt;margin-top:794.7pt;height:12pt;width:17.1pt;mso-position-horizontal-relative:page;mso-position-vertical-relative:pag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_GB2312" w:hAnsi="??_GB2312" w:eastAsia="宋体" w:cs="??_GB2312"/>
        <w:kern w:val="0"/>
        <w:sz w:val="22"/>
        <w:szCs w:val="22"/>
        <w:lang w:val="en-US" w:eastAsia="zh-CN" w:bidi="ar-SA"/>
      </w:rPr>
      <w:pict>
        <v:shape id="_x0000_s2052" o:spid="_x0000_s2052" o:spt="202" type="#_x0000_t202" style="position:absolute;left:0pt;margin-top:0pt;height:144pt;width:144pt;mso-position-horizontal:center;mso-position-horizontal-relative:margin;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tabs>
                    <w:tab w:val="center" w:pos="4153"/>
                    <w:tab w:val="right" w:pos="8306"/>
                  </w:tabs>
                </w:pPr>
                <w:r>
                  <w:fldChar w:fldCharType="begin"/>
                </w:r>
                <w:r>
                  <w:instrText xml:space="preserve"> PAGE  \* MERGEFORMAT </w:instrText>
                </w:r>
                <w:r>
                  <w:fldChar w:fldCharType="separate"/>
                </w:r>
                <w:r>
                  <w:t>14</w:t>
                </w:r>
                <w:r>
                  <w:fldChar w:fldCharType="end"/>
                </w:r>
              </w:p>
            </w:txbxContent>
          </v:textbox>
        </v:shape>
      </w:pict>
    </w:r>
    <w:r>
      <w:rPr>
        <w:rFonts w:ascii="??_GB2312" w:hAnsi="??_GB2312" w:eastAsia="宋体" w:cs="??_GB2312"/>
        <w:kern w:val="0"/>
        <w:sz w:val="22"/>
        <w:szCs w:val="22"/>
        <w:lang w:val="en-US" w:eastAsia="zh-CN" w:bidi="ar-SA"/>
      </w:rPr>
      <w:pict>
        <v:shape id="_x0000_s2053" o:spid="_x0000_s2053" o:spt="202" type="#_x0000_t202" style="position:absolute;left:0pt;margin-left:295.15pt;margin-top:781.05pt;height:12pt;width:6.5pt;mso-position-horizontal-relative:page;mso-position-vertical-relative:page;z-index:-25165721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611750"/>
    <w:multiLevelType w:val="singleLevel"/>
    <w:tmpl w:val="E261175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rawingGridHorizontalSpacing w:val="110"/>
  <w:displayHorizontalDrawingGridEvery w:val="2"/>
  <w:displayVerticalDrawingGridEvery w:val="1"/>
  <w:characterSpacingControl w:val="doNotCompress"/>
  <w:noLineBreaksAfter w:lang="zh-CN" w:val="$([{£¥·‘“〈《「『【〔〖〝﹙﹛﹝＄（．［｛￡￥"/>
  <w:noLineBreaksBefore w:lang="zh-CN" w:val="!%),.:;&gt;?]}¢¨°·ˇˉ―‖’”…‰′″›℃∶、。〃〉》」』】〕〗〞︶︺︾﹀﹄﹚﹜﹞！＂％＇），．：；？］｀｜｝～￠"/>
  <w:hdrShapeDefaults>
    <o:shapelayout v:ext="edit">
      <o:idmap v:ext="edit" data="2"/>
    </o:shapelayout>
  </w:hdrShapeDefaults>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D5677F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_GB2312" w:hAnsi="??_GB2312" w:eastAsia="宋体" w:cs="??_GB2312"/>
      <w:kern w:val="0"/>
      <w:sz w:val="22"/>
      <w:szCs w:val="22"/>
      <w:lang w:val="zh-CN" w:eastAsia="zh-CN" w:bidi="ar-SA"/>
    </w:rPr>
  </w:style>
  <w:style w:type="character" w:default="1" w:styleId="5">
    <w:name w:val="Default Paragraph Fon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Body Text"/>
    <w:basedOn w:val="1"/>
    <w:link w:val="14"/>
    <w:uiPriority w:val="0"/>
    <w:rPr>
      <w:rFonts w:ascii="??_GB2312" w:hAnsi="??_GB2312" w:cs="??_GB2312"/>
      <w:kern w:val="0"/>
      <w:sz w:val="22"/>
      <w:lang w:val="zh-CN"/>
    </w:rPr>
  </w:style>
  <w:style w:type="paragraph" w:styleId="3">
    <w:name w:val="footer"/>
    <w:basedOn w:val="1"/>
    <w:link w:val="15"/>
    <w:uiPriority w:val="0"/>
    <w:pPr>
      <w:tabs>
        <w:tab w:val="center" w:pos="4153"/>
        <w:tab w:val="right" w:pos="8306"/>
      </w:tabs>
      <w:snapToGrid w:val="0"/>
    </w:pPr>
    <w:rPr>
      <w:rFonts w:ascii="??_GB2312" w:hAnsi="??_GB2312" w:cs="??_GB2312"/>
      <w:sz w:val="18"/>
      <w:szCs w:val="18"/>
      <w:lang w:val="zh-CN" w:eastAsia="zh-CN"/>
    </w:rPr>
  </w:style>
  <w:style w:type="paragraph" w:styleId="4">
    <w:name w:val="header"/>
    <w:basedOn w:val="1"/>
    <w:link w:val="16"/>
    <w:qFormat/>
    <w:uiPriority w:val="0"/>
    <w:pPr>
      <w:pBdr>
        <w:bottom w:val="single" w:color="auto" w:sz="6" w:space="1"/>
      </w:pBdr>
      <w:tabs>
        <w:tab w:val="center" w:pos="4153"/>
        <w:tab w:val="right" w:pos="8306"/>
      </w:tabs>
      <w:snapToGrid w:val="0"/>
      <w:jc w:val="center"/>
    </w:pPr>
    <w:rPr>
      <w:rFonts w:ascii="??_GB2312" w:hAnsi="??_GB2312" w:cs="??_GB2312"/>
      <w:sz w:val="18"/>
      <w:szCs w:val="18"/>
      <w:lang w:val="zh-CN" w:eastAsia="zh-CN"/>
    </w:rPr>
  </w:style>
  <w:style w:type="character" w:styleId="6">
    <w:name w:val="FollowedHyperlink"/>
    <w:basedOn w:val="5"/>
    <w:uiPriority w:val="0"/>
    <w:rPr>
      <w:rFonts w:cs="Times New Roman"/>
      <w:color w:val="800080"/>
      <w:u w:val="single"/>
    </w:rPr>
  </w:style>
  <w:style w:type="character" w:customStyle="1" w:styleId="8">
    <w:name w:val="批注框文本 Char"/>
    <w:basedOn w:val="5"/>
    <w:link w:val="9"/>
    <w:semiHidden/>
    <w:uiPriority w:val="0"/>
    <w:rPr>
      <w:rFonts w:ascii="??_GB2312" w:hAnsi="??_GB2312" w:cs="??_GB2312"/>
      <w:sz w:val="18"/>
      <w:szCs w:val="18"/>
      <w:lang w:val="zh-CN"/>
    </w:rPr>
  </w:style>
  <w:style w:type="paragraph" w:customStyle="1" w:styleId="9">
    <w:name w:val="批注框文本1"/>
    <w:basedOn w:val="1"/>
    <w:link w:val="8"/>
    <w:uiPriority w:val="0"/>
    <w:rPr>
      <w:rFonts w:ascii="??_GB2312" w:hAnsi="??_GB2312" w:cs="??_GB2312"/>
      <w:sz w:val="18"/>
      <w:szCs w:val="18"/>
      <w:lang w:val="zh-CN"/>
    </w:rPr>
  </w:style>
  <w:style w:type="paragraph" w:customStyle="1" w:styleId="10">
    <w:name w:val="Normal (Web)1"/>
    <w:basedOn w:val="1"/>
    <w:uiPriority w:val="0"/>
    <w:pPr>
      <w:widowControl/>
      <w:spacing w:before="100" w:beforeAutospacing="1" w:after="100" w:afterAutospacing="1"/>
    </w:pPr>
    <w:rPr>
      <w:rFonts w:ascii="宋体" w:hAnsi="宋体" w:cs="宋体"/>
      <w:sz w:val="24"/>
      <w:szCs w:val="24"/>
      <w:lang w:val="en-US"/>
    </w:rPr>
  </w:style>
  <w:style w:type="paragraph" w:customStyle="1" w:styleId="11">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2">
    <w:name w:val="List Paragraph1"/>
    <w:basedOn w:val="1"/>
    <w:qFormat/>
    <w:uiPriority w:val="0"/>
  </w:style>
  <w:style w:type="paragraph" w:customStyle="1" w:styleId="13">
    <w:name w:val="Table Paragraph"/>
    <w:basedOn w:val="1"/>
    <w:qFormat/>
    <w:uiPriority w:val="0"/>
  </w:style>
  <w:style w:type="character" w:customStyle="1" w:styleId="14">
    <w:name w:val="Body Text Char"/>
    <w:basedOn w:val="5"/>
    <w:link w:val="2"/>
    <w:semiHidden/>
    <w:qFormat/>
    <w:uiPriority w:val="0"/>
    <w:rPr>
      <w:rFonts w:ascii="??_GB2312" w:hAnsi="??_GB2312" w:cs="??_GB2312"/>
      <w:kern w:val="0"/>
      <w:sz w:val="22"/>
      <w:lang w:val="zh-CN"/>
    </w:rPr>
  </w:style>
  <w:style w:type="character" w:customStyle="1" w:styleId="15">
    <w:name w:val="Footer Char"/>
    <w:basedOn w:val="5"/>
    <w:link w:val="3"/>
    <w:semiHidden/>
    <w:qFormat/>
    <w:uiPriority w:val="0"/>
    <w:rPr>
      <w:rFonts w:ascii="??_GB2312" w:hAnsi="??_GB2312" w:cs="??_GB2312"/>
      <w:sz w:val="18"/>
      <w:szCs w:val="18"/>
      <w:lang w:val="zh-CN" w:eastAsia="zh-CN"/>
    </w:rPr>
  </w:style>
  <w:style w:type="character" w:customStyle="1" w:styleId="16">
    <w:name w:val="Header Char"/>
    <w:basedOn w:val="5"/>
    <w:link w:val="4"/>
    <w:semiHidden/>
    <w:uiPriority w:val="0"/>
    <w:rPr>
      <w:rFonts w:ascii="??_GB2312" w:hAnsi="??_GB2312" w:cs="??_GB2312"/>
      <w:sz w:val="18"/>
      <w:szCs w:val="18"/>
      <w:lang w:val="zh-CN" w:eastAsia="zh-CN"/>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2049"/>
    <customShpInfo spid="_x0000_s2050"/>
    <customShpInfo spid="_x0000_s2051"/>
    <customShpInfo spid="_x0000_s2052"/>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17</Pages>
  <Words>925</Words>
  <Characters>5277</Characters>
  <Lines>0</Lines>
  <Paragraphs>0</Paragraphs>
  <TotalTime>0</TotalTime>
  <ScaleCrop>false</ScaleCrop>
  <LinksUpToDate>false</LinksUpToDate>
  <CharactersWithSpaces>0</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2018-09-08T08:10:00Z</dcterms:created>
  <dc:creator>Administrator</dc:creator>
  <cp:lastModifiedBy>Administrator</cp:lastModifiedBy>
  <dcterms:modified xsi:type="dcterms:W3CDTF">2019-02-16T08:57:30Z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2052-11.1.0.7989</vt:lpwstr>
  </property>
</Properties>
</file>