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jc w:val="center"/>
        <w:rPr>
          <w:rFonts w:hint="eastAsia" w:ascii="黑体" w:hAnsi="黑体" w:eastAsia="黑体" w:cs="黑体"/>
          <w:color w:val="auto"/>
          <w:sz w:val="52"/>
          <w:szCs w:val="52"/>
        </w:rPr>
      </w:pPr>
    </w:p>
    <w:p>
      <w:pPr>
        <w:jc w:val="center"/>
        <w:rPr>
          <w:rFonts w:hint="eastAsia" w:ascii="黑体" w:hAnsi="黑体" w:eastAsia="黑体" w:cs="黑体"/>
          <w:color w:val="auto"/>
          <w:sz w:val="52"/>
          <w:szCs w:val="52"/>
        </w:rPr>
      </w:pPr>
      <w:r>
        <w:rPr>
          <w:rFonts w:hint="eastAsia" w:ascii="黑体" w:hAnsi="黑体" w:eastAsia="黑体" w:cs="黑体"/>
          <w:color w:val="auto"/>
          <w:sz w:val="52"/>
          <w:szCs w:val="52"/>
          <w:lang w:eastAsia="zh-CN"/>
        </w:rPr>
        <w:t>周口市淮阳区</w:t>
      </w:r>
      <w:r>
        <w:rPr>
          <w:rFonts w:hint="eastAsia" w:ascii="黑体" w:hAnsi="黑体" w:eastAsia="黑体" w:cs="黑体"/>
          <w:color w:val="auto"/>
          <w:sz w:val="52"/>
          <w:szCs w:val="52"/>
        </w:rPr>
        <w:t>扶贫开发办公室</w:t>
      </w:r>
    </w:p>
    <w:p>
      <w:pPr>
        <w:jc w:val="center"/>
        <w:rPr>
          <w:rFonts w:hint="eastAsia" w:ascii="黑体" w:hAnsi="黑体" w:eastAsia="黑体" w:cs="黑体"/>
          <w:color w:val="auto"/>
          <w:sz w:val="52"/>
          <w:szCs w:val="52"/>
        </w:rPr>
      </w:pPr>
      <w:r>
        <w:rPr>
          <w:rFonts w:hint="eastAsia" w:ascii="黑体" w:hAnsi="黑体" w:eastAsia="黑体" w:cs="黑体"/>
          <w:color w:val="auto"/>
          <w:sz w:val="52"/>
          <w:szCs w:val="52"/>
        </w:rPr>
        <w:t>201</w:t>
      </w:r>
      <w:r>
        <w:rPr>
          <w:rFonts w:hint="eastAsia" w:ascii="黑体" w:hAnsi="黑体" w:eastAsia="黑体" w:cs="黑体"/>
          <w:color w:val="auto"/>
          <w:sz w:val="52"/>
          <w:szCs w:val="52"/>
          <w:lang w:val="en-US" w:eastAsia="zh-CN"/>
        </w:rPr>
        <w:t>9</w:t>
      </w:r>
      <w:r>
        <w:rPr>
          <w:rFonts w:hint="eastAsia" w:ascii="黑体" w:hAnsi="黑体" w:eastAsia="黑体" w:cs="黑体"/>
          <w:color w:val="auto"/>
          <w:sz w:val="52"/>
          <w:szCs w:val="52"/>
        </w:rPr>
        <w:t>年度部门决算</w:t>
      </w:r>
    </w:p>
    <w:p>
      <w:pPr>
        <w:jc w:val="center"/>
        <w:rPr>
          <w:rFonts w:hint="eastAsia" w:ascii="黑体" w:hAnsi="黑体" w:eastAsia="黑体" w:cs="黑体"/>
          <w:color w:val="auto"/>
          <w:sz w:val="52"/>
          <w:szCs w:val="52"/>
        </w:rPr>
      </w:pPr>
    </w:p>
    <w:p>
      <w:pPr>
        <w:jc w:val="center"/>
        <w:rPr>
          <w:rFonts w:hint="eastAsia" w:ascii="黑体" w:hAnsi="黑体" w:eastAsia="黑体" w:cs="黑体"/>
          <w:color w:val="auto"/>
          <w:sz w:val="52"/>
          <w:szCs w:val="52"/>
        </w:rPr>
      </w:pPr>
    </w:p>
    <w:p>
      <w:pPr>
        <w:jc w:val="center"/>
        <w:rPr>
          <w:rFonts w:hint="eastAsia" w:ascii="黑体" w:hAnsi="黑体" w:eastAsia="黑体" w:cs="黑体"/>
          <w:color w:val="auto"/>
          <w:sz w:val="52"/>
          <w:szCs w:val="52"/>
        </w:rPr>
      </w:pPr>
    </w:p>
    <w:p>
      <w:pPr>
        <w:jc w:val="center"/>
        <w:rPr>
          <w:rFonts w:hint="eastAsia" w:ascii="黑体" w:hAnsi="黑体" w:eastAsia="黑体" w:cs="黑体"/>
          <w:color w:val="auto"/>
          <w:sz w:val="52"/>
          <w:szCs w:val="52"/>
        </w:rPr>
      </w:pPr>
    </w:p>
    <w:p>
      <w:pPr>
        <w:jc w:val="center"/>
        <w:rPr>
          <w:rFonts w:hint="eastAsia" w:ascii="黑体" w:hAnsi="黑体" w:eastAsia="黑体" w:cs="黑体"/>
          <w:color w:val="auto"/>
          <w:sz w:val="52"/>
          <w:szCs w:val="52"/>
        </w:rPr>
      </w:pPr>
    </w:p>
    <w:p>
      <w:pPr>
        <w:jc w:val="center"/>
        <w:rPr>
          <w:rFonts w:hint="eastAsia" w:ascii="黑体" w:hAnsi="黑体" w:eastAsia="黑体" w:cs="黑体"/>
          <w:color w:val="auto"/>
          <w:sz w:val="52"/>
          <w:szCs w:val="52"/>
        </w:rPr>
      </w:pPr>
    </w:p>
    <w:p>
      <w:pPr>
        <w:jc w:val="center"/>
        <w:rPr>
          <w:rFonts w:hint="default" w:ascii="黑体" w:hAnsi="黑体" w:eastAsia="黑体" w:cs="黑体"/>
          <w:color w:val="auto"/>
          <w:sz w:val="32"/>
          <w:szCs w:val="32"/>
          <w:lang w:val="en-US" w:eastAsia="zh-CN"/>
        </w:rPr>
        <w:sectPr>
          <w:pgSz w:w="11906" w:h="16838"/>
          <w:pgMar w:top="1440" w:right="1531" w:bottom="1440" w:left="1587" w:header="850" w:footer="992" w:gutter="0"/>
          <w:pgBorders w:offsetFrom="page">
            <w:top w:val="none" w:sz="0" w:space="0"/>
            <w:left w:val="none" w:sz="0" w:space="0"/>
            <w:bottom w:val="none" w:sz="0" w:space="0"/>
            <w:right w:val="none" w:sz="0" w:space="0"/>
          </w:pgBorders>
          <w:pgNumType w:fmt="numberInDash"/>
          <w:cols w:space="720" w:num="1"/>
          <w:docGrid w:type="lines" w:linePitch="317" w:charSpace="0"/>
        </w:sectPr>
      </w:pPr>
      <w:r>
        <w:rPr>
          <w:rFonts w:hint="eastAsia" w:ascii="黑体" w:hAnsi="黑体" w:eastAsia="黑体" w:cs="黑体"/>
          <w:color w:val="auto"/>
          <w:sz w:val="32"/>
          <w:szCs w:val="32"/>
        </w:rPr>
        <w:t>二〇二〇年</w:t>
      </w:r>
      <w:r>
        <w:rPr>
          <w:rFonts w:hint="eastAsia" w:ascii="黑体" w:hAnsi="黑体" w:eastAsia="黑体" w:cs="黑体"/>
          <w:color w:val="auto"/>
          <w:sz w:val="32"/>
          <w:szCs w:val="32"/>
          <w:lang w:eastAsia="zh-CN"/>
        </w:rPr>
        <w:t>九</w:t>
      </w:r>
      <w:r>
        <w:rPr>
          <w:rFonts w:hint="eastAsia" w:ascii="黑体" w:hAnsi="黑体" w:eastAsia="黑体" w:cs="黑体"/>
          <w:color w:val="auto"/>
          <w:sz w:val="32"/>
          <w:szCs w:val="32"/>
        </w:rPr>
        <w:t>月</w:t>
      </w:r>
    </w:p>
    <w:p>
      <w:pPr>
        <w:jc w:val="center"/>
        <w:rPr>
          <w:rFonts w:ascii="黑体" w:hAnsi="黑体" w:eastAsia="黑体" w:cs="黑体"/>
          <w:color w:val="auto"/>
          <w:sz w:val="36"/>
          <w:szCs w:val="36"/>
        </w:rPr>
      </w:pPr>
      <w:r>
        <w:rPr>
          <w:rFonts w:hint="eastAsia" w:ascii="黑体" w:hAnsi="黑体" w:eastAsia="黑体" w:cs="黑体"/>
          <w:color w:val="auto"/>
          <w:sz w:val="36"/>
          <w:szCs w:val="36"/>
        </w:rPr>
        <w:t>目　　录</w:t>
      </w:r>
    </w:p>
    <w:p>
      <w:pPr>
        <w:jc w:val="left"/>
        <w:rPr>
          <w:rFonts w:ascii="黑体" w:hAnsi="黑体" w:eastAsia="黑体" w:cs="黑体"/>
          <w:color w:val="auto"/>
          <w:sz w:val="32"/>
          <w:szCs w:val="32"/>
        </w:rPr>
      </w:pPr>
      <w:r>
        <w:rPr>
          <w:rFonts w:hint="eastAsia" w:ascii="黑体" w:hAnsi="黑体" w:eastAsia="黑体" w:cs="黑体"/>
          <w:color w:val="auto"/>
          <w:sz w:val="32"/>
          <w:szCs w:val="32"/>
        </w:rPr>
        <w:t>第一部分　　淮阳</w:t>
      </w:r>
      <w:r>
        <w:rPr>
          <w:rFonts w:hint="eastAsia" w:ascii="黑体" w:hAnsi="黑体" w:eastAsia="黑体" w:cs="黑体"/>
          <w:color w:val="auto"/>
          <w:sz w:val="32"/>
          <w:szCs w:val="32"/>
          <w:lang w:eastAsia="zh-CN"/>
        </w:rPr>
        <w:t>区</w:t>
      </w:r>
      <w:r>
        <w:rPr>
          <w:rFonts w:hint="eastAsia" w:ascii="黑体" w:hAnsi="黑体" w:eastAsia="黑体" w:cs="黑体"/>
          <w:color w:val="auto"/>
          <w:sz w:val="32"/>
          <w:szCs w:val="32"/>
        </w:rPr>
        <w:t>扶贫开发办公室概况</w:t>
      </w:r>
    </w:p>
    <w:p>
      <w:pPr>
        <w:numPr>
          <w:ilvl w:val="0"/>
          <w:numId w:val="1"/>
        </w:numPr>
        <w:ind w:firstLine="640" w:firstLineChars="200"/>
        <w:jc w:val="left"/>
        <w:rPr>
          <w:rFonts w:ascii="宋体" w:hAnsi="宋体" w:cs="宋体"/>
          <w:color w:val="auto"/>
          <w:sz w:val="32"/>
          <w:szCs w:val="32"/>
        </w:rPr>
      </w:pPr>
      <w:r>
        <w:rPr>
          <w:rFonts w:hint="eastAsia" w:ascii="宋体" w:hAnsi="宋体" w:cs="宋体"/>
          <w:color w:val="auto"/>
          <w:sz w:val="32"/>
          <w:szCs w:val="32"/>
        </w:rPr>
        <w:t>部门职责</w:t>
      </w:r>
    </w:p>
    <w:p>
      <w:pPr>
        <w:numPr>
          <w:ilvl w:val="0"/>
          <w:numId w:val="1"/>
        </w:numPr>
        <w:ind w:firstLine="640" w:firstLineChars="200"/>
        <w:jc w:val="left"/>
        <w:rPr>
          <w:rFonts w:ascii="宋体" w:hAnsi="宋体" w:cs="宋体"/>
          <w:color w:val="auto"/>
          <w:sz w:val="32"/>
          <w:szCs w:val="32"/>
        </w:rPr>
      </w:pPr>
      <w:r>
        <w:rPr>
          <w:rFonts w:hint="eastAsia" w:ascii="宋体" w:hAnsi="宋体" w:cs="宋体"/>
          <w:color w:val="auto"/>
          <w:sz w:val="32"/>
          <w:szCs w:val="32"/>
        </w:rPr>
        <w:t>机构设置</w:t>
      </w:r>
    </w:p>
    <w:p>
      <w:pPr>
        <w:jc w:val="left"/>
        <w:rPr>
          <w:rFonts w:hint="eastAsia" w:ascii="黑体" w:hAnsi="黑体" w:eastAsia="黑体" w:cs="黑体"/>
          <w:color w:val="auto"/>
          <w:sz w:val="32"/>
          <w:szCs w:val="32"/>
        </w:rPr>
      </w:pPr>
      <w:r>
        <w:rPr>
          <w:rFonts w:hint="eastAsia" w:ascii="黑体" w:hAnsi="黑体" w:eastAsia="黑体" w:cs="黑体"/>
          <w:color w:val="auto"/>
          <w:sz w:val="32"/>
          <w:szCs w:val="32"/>
        </w:rPr>
        <w:t>第二部分　　201</w:t>
      </w:r>
      <w:r>
        <w:rPr>
          <w:rFonts w:hint="eastAsia" w:ascii="黑体" w:hAnsi="黑体" w:eastAsia="黑体" w:cs="黑体"/>
          <w:color w:val="auto"/>
          <w:sz w:val="32"/>
          <w:szCs w:val="32"/>
          <w:lang w:val="en-US" w:eastAsia="zh-CN"/>
        </w:rPr>
        <w:t>9</w:t>
      </w:r>
      <w:r>
        <w:rPr>
          <w:rFonts w:hint="eastAsia" w:ascii="黑体" w:hAnsi="黑体" w:eastAsia="黑体" w:cs="黑体"/>
          <w:color w:val="auto"/>
          <w:sz w:val="32"/>
          <w:szCs w:val="32"/>
        </w:rPr>
        <w:t>年度部门决算表</w:t>
      </w:r>
    </w:p>
    <w:p>
      <w:pPr>
        <w:ind w:firstLine="640" w:firstLineChars="200"/>
        <w:jc w:val="left"/>
        <w:rPr>
          <w:rFonts w:ascii="宋体" w:hAnsi="宋体" w:cs="宋体"/>
          <w:color w:val="auto"/>
          <w:sz w:val="32"/>
          <w:szCs w:val="32"/>
        </w:rPr>
      </w:pPr>
      <w:r>
        <w:rPr>
          <w:rFonts w:hint="eastAsia" w:ascii="宋体" w:hAnsi="宋体" w:cs="宋体"/>
          <w:color w:val="auto"/>
          <w:sz w:val="32"/>
          <w:szCs w:val="32"/>
        </w:rPr>
        <w:t>一、收入支出决算总表</w:t>
      </w:r>
    </w:p>
    <w:p>
      <w:pPr>
        <w:ind w:firstLine="640" w:firstLineChars="200"/>
        <w:jc w:val="left"/>
        <w:rPr>
          <w:rFonts w:ascii="宋体" w:hAnsi="宋体" w:cs="宋体"/>
          <w:color w:val="auto"/>
          <w:sz w:val="32"/>
          <w:szCs w:val="32"/>
        </w:rPr>
      </w:pPr>
      <w:r>
        <w:rPr>
          <w:rFonts w:hint="eastAsia" w:ascii="宋体" w:hAnsi="宋体" w:cs="宋体"/>
          <w:color w:val="auto"/>
          <w:sz w:val="32"/>
          <w:szCs w:val="32"/>
        </w:rPr>
        <w:t>二、收入决算表</w:t>
      </w:r>
    </w:p>
    <w:p>
      <w:pPr>
        <w:ind w:firstLine="640" w:firstLineChars="200"/>
        <w:jc w:val="left"/>
        <w:rPr>
          <w:rFonts w:ascii="宋体" w:hAnsi="宋体" w:cs="宋体"/>
          <w:color w:val="auto"/>
          <w:sz w:val="32"/>
          <w:szCs w:val="32"/>
        </w:rPr>
      </w:pPr>
      <w:r>
        <w:rPr>
          <w:rFonts w:hint="eastAsia" w:ascii="宋体" w:hAnsi="宋体" w:cs="宋体"/>
          <w:color w:val="auto"/>
          <w:sz w:val="32"/>
          <w:szCs w:val="32"/>
        </w:rPr>
        <w:t>三、支出决算表</w:t>
      </w:r>
    </w:p>
    <w:p>
      <w:pPr>
        <w:ind w:firstLine="640" w:firstLineChars="200"/>
        <w:jc w:val="left"/>
        <w:rPr>
          <w:rFonts w:ascii="宋体" w:hAnsi="宋体" w:cs="宋体"/>
          <w:color w:val="auto"/>
          <w:sz w:val="32"/>
          <w:szCs w:val="32"/>
        </w:rPr>
      </w:pPr>
      <w:r>
        <w:rPr>
          <w:rFonts w:hint="eastAsia" w:ascii="宋体" w:hAnsi="宋体" w:cs="宋体"/>
          <w:color w:val="auto"/>
          <w:sz w:val="32"/>
          <w:szCs w:val="32"/>
        </w:rPr>
        <w:t>四、财政拨款收入支出决算总表</w:t>
      </w:r>
    </w:p>
    <w:p>
      <w:pPr>
        <w:ind w:firstLine="640" w:firstLineChars="200"/>
        <w:jc w:val="left"/>
        <w:rPr>
          <w:rFonts w:ascii="宋体" w:hAnsi="宋体" w:cs="宋体"/>
          <w:color w:val="auto"/>
          <w:sz w:val="32"/>
          <w:szCs w:val="32"/>
        </w:rPr>
      </w:pPr>
      <w:r>
        <w:rPr>
          <w:rFonts w:hint="eastAsia" w:ascii="宋体" w:hAnsi="宋体" w:cs="宋体"/>
          <w:color w:val="auto"/>
          <w:sz w:val="32"/>
          <w:szCs w:val="32"/>
        </w:rPr>
        <w:t>五、一般公共预算财政拨款支出决算表</w:t>
      </w:r>
    </w:p>
    <w:p>
      <w:pPr>
        <w:ind w:firstLine="640" w:firstLineChars="200"/>
        <w:jc w:val="left"/>
        <w:rPr>
          <w:rFonts w:ascii="宋体" w:hAnsi="宋体" w:cs="宋体"/>
          <w:color w:val="auto"/>
          <w:sz w:val="32"/>
          <w:szCs w:val="32"/>
        </w:rPr>
      </w:pPr>
      <w:r>
        <w:rPr>
          <w:rFonts w:hint="eastAsia" w:ascii="宋体" w:hAnsi="宋体" w:cs="宋体"/>
          <w:color w:val="auto"/>
          <w:sz w:val="32"/>
          <w:szCs w:val="32"/>
        </w:rPr>
        <w:t>六、一般公共预算财政拨款基本支出决算表</w:t>
      </w:r>
    </w:p>
    <w:p>
      <w:pPr>
        <w:ind w:firstLine="640" w:firstLineChars="200"/>
        <w:jc w:val="left"/>
        <w:rPr>
          <w:rFonts w:ascii="宋体" w:hAnsi="宋体" w:cs="宋体"/>
          <w:color w:val="auto"/>
          <w:sz w:val="32"/>
          <w:szCs w:val="32"/>
        </w:rPr>
      </w:pPr>
      <w:r>
        <w:rPr>
          <w:rFonts w:hint="eastAsia" w:ascii="宋体" w:hAnsi="宋体" w:cs="宋体"/>
          <w:color w:val="auto"/>
          <w:sz w:val="32"/>
          <w:szCs w:val="32"/>
        </w:rPr>
        <w:t>七、一般公共预算财政拨款“三公”经费支出决算表</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八、政府性基金预算财政拨款收入支出决算表</w:t>
      </w:r>
    </w:p>
    <w:p>
      <w:pPr>
        <w:jc w:val="left"/>
        <w:rPr>
          <w:rFonts w:hint="eastAsia" w:ascii="黑体" w:hAnsi="黑体" w:eastAsia="黑体" w:cs="黑体"/>
          <w:color w:val="auto"/>
          <w:sz w:val="32"/>
          <w:szCs w:val="32"/>
        </w:rPr>
      </w:pPr>
      <w:r>
        <w:rPr>
          <w:rFonts w:hint="eastAsia" w:ascii="黑体" w:hAnsi="黑体" w:eastAsia="黑体" w:cs="黑体"/>
          <w:color w:val="auto"/>
          <w:sz w:val="32"/>
          <w:szCs w:val="32"/>
        </w:rPr>
        <w:t>第三部分　　201</w:t>
      </w:r>
      <w:r>
        <w:rPr>
          <w:rFonts w:hint="eastAsia" w:ascii="黑体" w:hAnsi="黑体" w:eastAsia="黑体" w:cs="黑体"/>
          <w:color w:val="auto"/>
          <w:sz w:val="32"/>
          <w:szCs w:val="32"/>
          <w:lang w:val="en-US" w:eastAsia="zh-CN"/>
        </w:rPr>
        <w:t>9</w:t>
      </w:r>
      <w:r>
        <w:rPr>
          <w:rFonts w:hint="eastAsia" w:ascii="黑体" w:hAnsi="黑体" w:eastAsia="黑体" w:cs="黑体"/>
          <w:color w:val="auto"/>
          <w:sz w:val="32"/>
          <w:szCs w:val="32"/>
        </w:rPr>
        <w:t>年度部门决算情况说明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一、收入支出决算总体情况说明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二、收入决算情况说明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三、支出决算情况说明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四、财政拨款收入支出决算总体情况说明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五、一般公共预算财政拨款支出决算情况说明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六、一般公共预算财政拨款基本支出决算情况说明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七、一般公共预算财政拨款“三公”经费支出决算情况说明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八、预算绩效情况说明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九、政府性基金预算财政拨款支出决算情况说明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十、机关运行经费支出情况说明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十一、政府采购支出情况说明</w:t>
      </w:r>
    </w:p>
    <w:p>
      <w:pPr>
        <w:ind w:firstLine="640" w:firstLineChars="200"/>
        <w:jc w:val="left"/>
        <w:rPr>
          <w:rFonts w:hint="eastAsia" w:ascii="宋体" w:hAnsi="宋体" w:cs="宋体"/>
          <w:color w:val="auto"/>
          <w:sz w:val="32"/>
          <w:szCs w:val="32"/>
        </w:rPr>
      </w:pPr>
      <w:r>
        <w:rPr>
          <w:rFonts w:hint="eastAsia" w:ascii="宋体" w:hAnsi="宋体" w:cs="宋体"/>
          <w:color w:val="auto"/>
          <w:sz w:val="32"/>
          <w:szCs w:val="32"/>
        </w:rPr>
        <w:t>十二、国有资产占用情况说明</w:t>
      </w:r>
    </w:p>
    <w:p>
      <w:pPr>
        <w:jc w:val="left"/>
        <w:rPr>
          <w:rFonts w:hint="eastAsia" w:ascii="黑体" w:hAnsi="黑体" w:eastAsia="黑体" w:cs="黑体"/>
          <w:color w:val="auto"/>
          <w:sz w:val="32"/>
          <w:szCs w:val="32"/>
        </w:rPr>
      </w:pPr>
      <w:r>
        <w:rPr>
          <w:rFonts w:hint="eastAsia" w:ascii="黑体" w:hAnsi="黑体" w:eastAsia="黑体" w:cs="黑体"/>
          <w:color w:val="auto"/>
          <w:sz w:val="32"/>
          <w:szCs w:val="32"/>
        </w:rPr>
        <w:t>第四部分　　名词解释</w:t>
      </w: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center"/>
        <w:outlineLvl w:val="0"/>
        <w:rPr>
          <w:rFonts w:hint="eastAsia" w:ascii="黑体" w:hAnsi="黑体" w:eastAsia="黑体" w:cs="黑体"/>
          <w:color w:val="auto"/>
          <w:sz w:val="48"/>
          <w:szCs w:val="48"/>
        </w:rPr>
        <w:sectPr>
          <w:footerReference r:id="rId3" w:type="default"/>
          <w:footerReference r:id="rId4" w:type="even"/>
          <w:pgSz w:w="11906" w:h="16838"/>
          <w:pgMar w:top="1440" w:right="1800" w:bottom="1440" w:left="180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numPr>
          <w:ilvl w:val="0"/>
          <w:numId w:val="2"/>
        </w:numPr>
        <w:jc w:val="center"/>
        <w:outlineLvl w:val="0"/>
        <w:rPr>
          <w:rFonts w:hint="eastAsia" w:ascii="黑体" w:hAnsi="黑体" w:eastAsia="黑体" w:cs="黑体"/>
          <w:color w:val="auto"/>
          <w:sz w:val="48"/>
          <w:szCs w:val="48"/>
        </w:rPr>
      </w:pPr>
    </w:p>
    <w:p>
      <w:pPr>
        <w:widowControl/>
        <w:numPr>
          <w:ilvl w:val="0"/>
          <w:numId w:val="0"/>
        </w:numPr>
        <w:jc w:val="center"/>
        <w:outlineLvl w:val="0"/>
        <w:rPr>
          <w:rFonts w:hint="eastAsia" w:ascii="黑体" w:hAnsi="宋体" w:eastAsia="黑体" w:cs="宋体"/>
          <w:color w:val="auto"/>
          <w:kern w:val="0"/>
          <w:sz w:val="28"/>
          <w:szCs w:val="28"/>
        </w:rPr>
      </w:pPr>
      <w:r>
        <w:rPr>
          <w:rFonts w:hint="eastAsia" w:ascii="黑体" w:hAnsi="黑体" w:eastAsia="黑体" w:cs="黑体"/>
          <w:color w:val="auto"/>
          <w:sz w:val="48"/>
          <w:szCs w:val="48"/>
        </w:rPr>
        <w:t>淮阳</w:t>
      </w:r>
      <w:r>
        <w:rPr>
          <w:rFonts w:hint="eastAsia" w:ascii="黑体" w:hAnsi="黑体" w:eastAsia="黑体" w:cs="黑体"/>
          <w:color w:val="auto"/>
          <w:sz w:val="48"/>
          <w:szCs w:val="48"/>
          <w:lang w:eastAsia="zh-CN"/>
        </w:rPr>
        <w:t>区</w:t>
      </w:r>
      <w:r>
        <w:rPr>
          <w:rFonts w:hint="eastAsia" w:ascii="黑体" w:hAnsi="黑体" w:eastAsia="黑体" w:cs="黑体"/>
          <w:color w:val="auto"/>
          <w:sz w:val="48"/>
          <w:szCs w:val="48"/>
        </w:rPr>
        <w:t>扶贫开发办公室概况</w:t>
      </w: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sectPr>
          <w:pgSz w:w="11906" w:h="16838"/>
          <w:pgMar w:top="1440" w:right="1800" w:bottom="1440" w:left="180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p>
    <w:p>
      <w:pPr>
        <w:widowControl/>
        <w:ind w:firstLine="640" w:firstLineChars="200"/>
        <w:jc w:val="left"/>
        <w:outlineLvl w:val="1"/>
        <w:rPr>
          <w:rFonts w:hint="eastAsia" w:ascii="黑体" w:hAnsi="黑体" w:eastAsia="黑体" w:cs="黑体"/>
          <w:color w:val="auto"/>
          <w:kern w:val="0"/>
          <w:sz w:val="32"/>
          <w:szCs w:val="32"/>
        </w:rPr>
      </w:pPr>
      <w:r>
        <w:rPr>
          <w:rFonts w:hint="eastAsia" w:ascii="黑体" w:hAnsi="黑体" w:eastAsia="黑体" w:cs="黑体"/>
          <w:color w:val="auto"/>
          <w:kern w:val="0"/>
          <w:sz w:val="32"/>
          <w:szCs w:val="32"/>
        </w:rPr>
        <w:t>一、部门</w:t>
      </w:r>
      <w:r>
        <w:rPr>
          <w:rFonts w:hint="eastAsia" w:ascii="黑体" w:hAnsi="黑体" w:eastAsia="黑体" w:cs="黑体"/>
          <w:bCs/>
          <w:color w:val="auto"/>
          <w:sz w:val="32"/>
          <w:szCs w:val="32"/>
        </w:rPr>
        <w:t>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324" w:lineRule="atLeast"/>
        <w:ind w:left="0" w:right="0" w:firstLine="640"/>
        <w:jc w:val="left"/>
        <w:rPr>
          <w:color w:val="auto"/>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一)负责扶贫开发整村推进、连片开发工作，指导全区扶贫开发工作重点镇、村基础设施和社会公益事业建设；指导全区贫困地区产业化扶贫、小额贷款扶贫和互助资金扶贫等工作；协助有关部门做好定点扶贫和驻村扶贫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324" w:lineRule="atLeast"/>
        <w:ind w:left="0" w:right="0" w:firstLine="640"/>
        <w:jc w:val="left"/>
        <w:rPr>
          <w:rFonts w:hint="eastAsia" w:ascii="仿宋" w:hAnsi="仿宋" w:eastAsia="仿宋" w:cs="仿宋"/>
          <w:b w:val="0"/>
          <w:i w:val="0"/>
          <w:caps w:val="0"/>
          <w:color w:val="auto"/>
          <w:spacing w:val="0"/>
          <w:kern w:val="0"/>
          <w:sz w:val="32"/>
          <w:szCs w:val="32"/>
          <w:shd w:val="clear" w:color="auto" w:fill="FFFFFF"/>
          <w:lang w:val="en-US" w:eastAsia="zh-CN" w:bidi="ar"/>
        </w:rPr>
      </w:pPr>
      <w:r>
        <w:rPr>
          <w:rFonts w:hint="eastAsia" w:ascii="仿宋" w:hAnsi="仿宋" w:eastAsia="仿宋" w:cs="仿宋"/>
          <w:b w:val="0"/>
          <w:i w:val="0"/>
          <w:caps w:val="0"/>
          <w:color w:val="auto"/>
          <w:spacing w:val="0"/>
          <w:kern w:val="0"/>
          <w:sz w:val="32"/>
          <w:szCs w:val="32"/>
          <w:shd w:val="clear" w:color="auto" w:fill="FFFFFF"/>
          <w:lang w:val="en-US" w:eastAsia="zh-CN" w:bidi="ar"/>
        </w:rPr>
        <w:t>（二）组织指导全区科技扶贫工作，</w:t>
      </w:r>
    </w:p>
    <w:p>
      <w:pPr>
        <w:widowControl/>
        <w:spacing w:line="640" w:lineRule="exact"/>
        <w:ind w:firstLine="640" w:firstLineChars="200"/>
        <w:jc w:val="left"/>
        <w:rPr>
          <w:rFonts w:hint="eastAsia" w:ascii="仿宋" w:hAnsi="仿宋" w:eastAsia="仿宋" w:cs="仿宋"/>
          <w:color w:val="auto"/>
          <w:kern w:val="0"/>
          <w:sz w:val="32"/>
          <w:szCs w:val="32"/>
          <w:lang w:bidi="ar"/>
        </w:rPr>
      </w:pPr>
      <w:r>
        <w:rPr>
          <w:rFonts w:hint="eastAsia" w:ascii="仿宋" w:hAnsi="仿宋" w:eastAsia="仿宋" w:cs="仿宋"/>
          <w:b w:val="0"/>
          <w:i w:val="0"/>
          <w:caps w:val="0"/>
          <w:color w:val="auto"/>
          <w:spacing w:val="0"/>
          <w:kern w:val="0"/>
          <w:sz w:val="32"/>
          <w:szCs w:val="32"/>
          <w:shd w:val="clear" w:color="auto" w:fill="FFFFFF"/>
          <w:lang w:val="en-US" w:eastAsia="zh-CN" w:bidi="ar"/>
        </w:rPr>
        <w:t>（三）组织指导</w:t>
      </w:r>
      <w:r>
        <w:rPr>
          <w:rFonts w:hint="eastAsia" w:ascii="仿宋" w:hAnsi="仿宋" w:eastAsia="仿宋" w:cs="仿宋"/>
          <w:color w:val="auto"/>
          <w:kern w:val="0"/>
          <w:sz w:val="32"/>
          <w:szCs w:val="32"/>
          <w:lang w:bidi="ar"/>
        </w:rPr>
        <w:t>全</w:t>
      </w:r>
      <w:r>
        <w:rPr>
          <w:rFonts w:hint="eastAsia" w:ascii="仿宋" w:hAnsi="仿宋" w:eastAsia="仿宋" w:cs="仿宋"/>
          <w:color w:val="auto"/>
          <w:kern w:val="0"/>
          <w:sz w:val="32"/>
          <w:szCs w:val="32"/>
          <w:lang w:eastAsia="zh-CN" w:bidi="ar"/>
        </w:rPr>
        <w:t>区</w:t>
      </w:r>
      <w:r>
        <w:rPr>
          <w:rFonts w:hint="eastAsia" w:ascii="仿宋" w:hAnsi="仿宋" w:eastAsia="仿宋" w:cs="仿宋"/>
          <w:color w:val="auto"/>
          <w:kern w:val="0"/>
          <w:sz w:val="32"/>
          <w:szCs w:val="32"/>
          <w:lang w:bidi="ar"/>
        </w:rPr>
        <w:t>扶贫攻坚计划的组织实施</w:t>
      </w:r>
      <w:r>
        <w:rPr>
          <w:rFonts w:hint="eastAsia" w:ascii="仿宋" w:hAnsi="仿宋" w:eastAsia="仿宋" w:cs="仿宋"/>
          <w:color w:val="auto"/>
          <w:kern w:val="0"/>
          <w:sz w:val="32"/>
          <w:szCs w:val="32"/>
          <w:lang w:eastAsia="zh-CN" w:bidi="ar"/>
        </w:rPr>
        <w:t>，</w:t>
      </w:r>
    </w:p>
    <w:p>
      <w:pPr>
        <w:widowControl/>
        <w:spacing w:line="640" w:lineRule="exact"/>
        <w:ind w:firstLine="640" w:firstLineChars="200"/>
        <w:jc w:val="left"/>
        <w:rPr>
          <w:rFonts w:hint="eastAsia" w:ascii="仿宋" w:hAnsi="仿宋" w:eastAsia="仿宋" w:cs="仿宋"/>
          <w:color w:val="auto"/>
          <w:kern w:val="0"/>
          <w:sz w:val="32"/>
          <w:szCs w:val="32"/>
          <w:lang w:bidi="ar"/>
        </w:rPr>
      </w:pPr>
      <w:r>
        <w:rPr>
          <w:rFonts w:hint="eastAsia" w:ascii="仿宋" w:hAnsi="仿宋" w:eastAsia="仿宋" w:cs="仿宋"/>
          <w:color w:val="auto"/>
          <w:kern w:val="0"/>
          <w:sz w:val="32"/>
          <w:szCs w:val="32"/>
          <w:lang w:eastAsia="zh-CN" w:bidi="ar"/>
        </w:rPr>
        <w:t>（四）</w:t>
      </w:r>
      <w:r>
        <w:rPr>
          <w:rFonts w:hint="eastAsia" w:ascii="仿宋" w:hAnsi="仿宋" w:eastAsia="仿宋" w:cs="仿宋"/>
          <w:color w:val="auto"/>
          <w:kern w:val="0"/>
          <w:sz w:val="32"/>
          <w:szCs w:val="32"/>
          <w:lang w:bidi="ar"/>
        </w:rPr>
        <w:t>督促、指导</w:t>
      </w:r>
      <w:r>
        <w:rPr>
          <w:rFonts w:hint="eastAsia" w:ascii="仿宋" w:hAnsi="仿宋" w:eastAsia="仿宋" w:cs="仿宋"/>
          <w:color w:val="auto"/>
          <w:kern w:val="0"/>
          <w:sz w:val="32"/>
          <w:szCs w:val="32"/>
          <w:lang w:eastAsia="zh-CN" w:bidi="ar"/>
        </w:rPr>
        <w:t>区</w:t>
      </w:r>
      <w:r>
        <w:rPr>
          <w:rFonts w:hint="eastAsia" w:ascii="仿宋" w:hAnsi="仿宋" w:eastAsia="仿宋" w:cs="仿宋"/>
          <w:color w:val="auto"/>
          <w:kern w:val="0"/>
          <w:sz w:val="32"/>
          <w:szCs w:val="32"/>
          <w:lang w:bidi="ar"/>
        </w:rPr>
        <w:t>直机关、事业单位，大中型企业与贫困乡镇的对口扶贫工作</w:t>
      </w:r>
      <w:r>
        <w:rPr>
          <w:rFonts w:hint="eastAsia" w:ascii="仿宋" w:hAnsi="仿宋" w:eastAsia="仿宋" w:cs="仿宋"/>
          <w:color w:val="auto"/>
          <w:kern w:val="0"/>
          <w:sz w:val="32"/>
          <w:szCs w:val="32"/>
          <w:lang w:eastAsia="zh-CN" w:bidi="ar"/>
        </w:rPr>
        <w:t>，</w:t>
      </w:r>
    </w:p>
    <w:p>
      <w:pPr>
        <w:numPr>
          <w:ilvl w:val="0"/>
          <w:numId w:val="0"/>
        </w:numPr>
        <w:shd w:val="clear" w:color="auto" w:fill="FFFFFF"/>
        <w:ind w:firstLine="640" w:firstLineChars="200"/>
        <w:jc w:val="left"/>
        <w:rPr>
          <w:rFonts w:hint="eastAsia" w:ascii="仿宋" w:hAnsi="仿宋" w:eastAsia="仿宋" w:cs="宋体"/>
          <w:color w:val="auto"/>
          <w:kern w:val="0"/>
          <w:sz w:val="32"/>
          <w:szCs w:val="32"/>
          <w:lang w:eastAsia="zh-CN"/>
        </w:rPr>
      </w:pPr>
      <w:r>
        <w:rPr>
          <w:rFonts w:hint="eastAsia" w:ascii="仿宋" w:hAnsi="仿宋" w:eastAsia="仿宋" w:cs="仿宋"/>
          <w:b w:val="0"/>
          <w:i w:val="0"/>
          <w:caps w:val="0"/>
          <w:color w:val="auto"/>
          <w:spacing w:val="0"/>
          <w:kern w:val="0"/>
          <w:sz w:val="32"/>
          <w:szCs w:val="32"/>
          <w:shd w:val="clear" w:color="auto" w:fill="FFFFFF"/>
          <w:lang w:val="en-US" w:eastAsia="zh-CN" w:bidi="ar"/>
        </w:rPr>
        <w:t>（五）组织协调社会各界的扶贫工作，联系协调党政机关、企事业单位、社会团体定点扶贫工作；参与拟订全市扶贫资金分配方案和监督、检查扶贫开发资金的使用，指导全市扶贫开发内部审计工作</w:t>
      </w:r>
      <w:r>
        <w:rPr>
          <w:rFonts w:hint="eastAsia" w:ascii="仿宋" w:hAnsi="仿宋" w:eastAsia="仿宋" w:cs="宋体"/>
          <w:color w:val="auto"/>
          <w:kern w:val="0"/>
          <w:sz w:val="32"/>
          <w:szCs w:val="32"/>
        </w:rPr>
        <w:t>。</w:t>
      </w:r>
    </w:p>
    <w:p>
      <w:pPr>
        <w:widowControl/>
        <w:ind w:firstLine="640" w:firstLineChars="200"/>
        <w:jc w:val="left"/>
        <w:outlineLvl w:val="1"/>
        <w:rPr>
          <w:rFonts w:hint="eastAsia" w:ascii="黑体" w:hAnsi="黑体" w:eastAsia="黑体" w:cs="黑体"/>
          <w:color w:val="auto"/>
          <w:kern w:val="0"/>
          <w:sz w:val="32"/>
          <w:szCs w:val="32"/>
        </w:rPr>
      </w:pPr>
      <w:r>
        <w:rPr>
          <w:rFonts w:hint="eastAsia" w:ascii="黑体" w:hAnsi="黑体" w:eastAsia="黑体" w:cs="黑体"/>
          <w:color w:val="auto"/>
          <w:kern w:val="0"/>
          <w:sz w:val="32"/>
          <w:szCs w:val="32"/>
        </w:rPr>
        <w:t>二、机构设置</w:t>
      </w:r>
    </w:p>
    <w:p>
      <w:pPr>
        <w:numPr>
          <w:ilvl w:val="0"/>
          <w:numId w:val="0"/>
        </w:numPr>
        <w:shd w:val="clear" w:color="auto" w:fill="FFFFFF"/>
        <w:ind w:firstLine="640" w:firstLineChars="200"/>
        <w:jc w:val="left"/>
        <w:rPr>
          <w:rFonts w:hint="eastAsia" w:ascii="仿宋_GB2312" w:eastAsia="仿宋_GB2312"/>
          <w:color w:val="auto"/>
          <w:sz w:val="32"/>
          <w:szCs w:val="32"/>
          <w:lang w:val="en-US" w:eastAsia="zh-CN"/>
        </w:rPr>
      </w:pPr>
      <w:r>
        <w:rPr>
          <w:rFonts w:hint="eastAsia" w:ascii="仿宋" w:hAnsi="仿宋" w:eastAsia="仿宋" w:cs="仿宋"/>
          <w:b w:val="0"/>
          <w:i w:val="0"/>
          <w:caps w:val="0"/>
          <w:color w:val="auto"/>
          <w:spacing w:val="0"/>
          <w:kern w:val="0"/>
          <w:sz w:val="32"/>
          <w:szCs w:val="32"/>
          <w:shd w:val="clear" w:color="auto" w:fill="FFFFFF"/>
          <w:lang w:val="en-US" w:eastAsia="zh-CN" w:bidi="ar"/>
        </w:rPr>
        <w:t>淮阳区扶贫开发办公室内设机构6个：包括：</w:t>
      </w:r>
      <w:r>
        <w:rPr>
          <w:rFonts w:hint="eastAsia" w:ascii="仿宋_GB2312" w:eastAsia="仿宋_GB2312"/>
          <w:color w:val="auto"/>
          <w:sz w:val="32"/>
          <w:szCs w:val="32"/>
          <w:lang w:val="en-US" w:eastAsia="zh-CN"/>
        </w:rPr>
        <w:t>综合股</w:t>
      </w:r>
    </w:p>
    <w:p>
      <w:pPr>
        <w:numPr>
          <w:numId w:val="0"/>
        </w:numPr>
        <w:rPr>
          <w:rFonts w:hint="eastAsia" w:ascii="仿宋" w:hAnsi="仿宋" w:eastAsia="仿宋" w:cs="宋体"/>
          <w:color w:val="auto"/>
          <w:kern w:val="0"/>
          <w:sz w:val="32"/>
          <w:szCs w:val="32"/>
        </w:rPr>
      </w:pPr>
      <w:r>
        <w:rPr>
          <w:rFonts w:hint="eastAsia" w:ascii="仿宋_GB2312" w:eastAsia="仿宋_GB2312"/>
          <w:color w:val="auto"/>
          <w:sz w:val="32"/>
          <w:szCs w:val="32"/>
          <w:lang w:val="en-US" w:eastAsia="zh-CN"/>
        </w:rPr>
        <w:t>计划资金股、项目管理股、人事教育股、内部监审股、信息中心。</w:t>
      </w:r>
    </w:p>
    <w:p>
      <w:pPr>
        <w:numPr>
          <w:ilvl w:val="0"/>
          <w:numId w:val="0"/>
        </w:numPr>
        <w:shd w:val="clear" w:color="auto" w:fill="FFFFFF"/>
        <w:ind w:firstLine="640"/>
        <w:jc w:val="both"/>
        <w:rPr>
          <w:rFonts w:hint="default" w:ascii="仿宋" w:hAnsi="仿宋" w:eastAsia="仿宋" w:cs="仿宋"/>
          <w:b w:val="0"/>
          <w:i w:val="0"/>
          <w:caps w:val="0"/>
          <w:color w:val="auto"/>
          <w:spacing w:val="0"/>
          <w:kern w:val="0"/>
          <w:sz w:val="32"/>
          <w:szCs w:val="32"/>
          <w:shd w:val="clear" w:color="auto" w:fill="FFFFFF"/>
          <w:lang w:val="en-US" w:eastAsia="zh-CN" w:bidi="ar"/>
        </w:rPr>
      </w:pPr>
      <w:r>
        <w:rPr>
          <w:rFonts w:hint="eastAsia" w:ascii="仿宋" w:hAnsi="仿宋" w:eastAsia="仿宋" w:cs="宋体"/>
          <w:color w:val="auto"/>
          <w:kern w:val="0"/>
          <w:sz w:val="32"/>
          <w:szCs w:val="32"/>
          <w:lang w:val="en-US" w:eastAsia="zh-CN"/>
        </w:rPr>
        <w:t>从决算单位构成看，</w:t>
      </w:r>
      <w:r>
        <w:rPr>
          <w:rFonts w:hint="eastAsia" w:ascii="仿宋" w:hAnsi="仿宋" w:eastAsia="仿宋" w:cs="仿宋"/>
          <w:b w:val="0"/>
          <w:i w:val="0"/>
          <w:caps w:val="0"/>
          <w:color w:val="auto"/>
          <w:spacing w:val="0"/>
          <w:kern w:val="0"/>
          <w:sz w:val="32"/>
          <w:szCs w:val="32"/>
          <w:shd w:val="clear" w:color="auto" w:fill="FFFFFF"/>
          <w:lang w:val="en-US" w:eastAsia="zh-CN" w:bidi="ar"/>
        </w:rPr>
        <w:t>淮阳区扶贫开发办公室部门决算为本级决算。</w:t>
      </w:r>
    </w:p>
    <w:p>
      <w:pPr>
        <w:widowControl/>
        <w:jc w:val="left"/>
        <w:rPr>
          <w:rFonts w:hint="eastAsia" w:ascii="黑体" w:hAnsi="宋体" w:eastAsia="黑体" w:cs="宋体"/>
          <w:color w:val="auto"/>
          <w:kern w:val="0"/>
          <w:sz w:val="28"/>
          <w:szCs w:val="28"/>
        </w:rPr>
      </w:pPr>
      <w:bookmarkStart w:id="0" w:name="_GoBack"/>
      <w:bookmarkEnd w:id="0"/>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jc w:val="center"/>
        <w:outlineLvl w:val="0"/>
        <w:rPr>
          <w:rFonts w:hint="eastAsia" w:ascii="黑体" w:hAnsi="黑体" w:eastAsia="黑体" w:cs="黑体"/>
          <w:color w:val="auto"/>
          <w:sz w:val="48"/>
          <w:szCs w:val="48"/>
        </w:rPr>
      </w:pPr>
    </w:p>
    <w:p>
      <w:pPr>
        <w:jc w:val="center"/>
        <w:outlineLvl w:val="0"/>
        <w:rPr>
          <w:rFonts w:hint="eastAsia" w:ascii="黑体" w:hAnsi="黑体" w:eastAsia="黑体" w:cs="黑体"/>
          <w:color w:val="auto"/>
          <w:sz w:val="48"/>
          <w:szCs w:val="48"/>
        </w:rPr>
      </w:pPr>
    </w:p>
    <w:p>
      <w:pPr>
        <w:jc w:val="center"/>
        <w:outlineLvl w:val="0"/>
        <w:rPr>
          <w:rFonts w:hint="eastAsia" w:ascii="黑体" w:hAnsi="黑体" w:eastAsia="黑体" w:cs="黑体"/>
          <w:color w:val="auto"/>
          <w:sz w:val="48"/>
          <w:szCs w:val="48"/>
        </w:rPr>
      </w:pPr>
    </w:p>
    <w:p>
      <w:pPr>
        <w:jc w:val="both"/>
        <w:outlineLvl w:val="0"/>
        <w:rPr>
          <w:rFonts w:hint="eastAsia" w:ascii="黑体" w:hAnsi="黑体" w:eastAsia="黑体" w:cs="黑体"/>
          <w:color w:val="auto"/>
          <w:sz w:val="48"/>
          <w:szCs w:val="48"/>
        </w:rPr>
      </w:pPr>
    </w:p>
    <w:p>
      <w:pPr>
        <w:jc w:val="center"/>
        <w:outlineLvl w:val="0"/>
        <w:rPr>
          <w:rFonts w:hint="eastAsia" w:ascii="黑体" w:hAnsi="黑体" w:eastAsia="黑体" w:cs="黑体"/>
          <w:color w:val="auto"/>
          <w:sz w:val="48"/>
          <w:szCs w:val="48"/>
        </w:rPr>
      </w:pPr>
    </w:p>
    <w:p>
      <w:pPr>
        <w:jc w:val="center"/>
        <w:outlineLvl w:val="0"/>
        <w:rPr>
          <w:rFonts w:hint="eastAsia" w:ascii="黑体" w:hAnsi="黑体" w:eastAsia="黑体" w:cs="黑体"/>
          <w:color w:val="auto"/>
          <w:sz w:val="48"/>
          <w:szCs w:val="48"/>
        </w:rPr>
      </w:pPr>
      <w:r>
        <w:rPr>
          <w:rFonts w:hint="eastAsia" w:ascii="黑体" w:hAnsi="黑体" w:eastAsia="黑体" w:cs="黑体"/>
          <w:color w:val="auto"/>
          <w:sz w:val="48"/>
          <w:szCs w:val="48"/>
        </w:rPr>
        <w:t>第二部分  201</w:t>
      </w:r>
      <w:r>
        <w:rPr>
          <w:rFonts w:hint="eastAsia" w:ascii="黑体" w:hAnsi="黑体" w:eastAsia="黑体" w:cs="黑体"/>
          <w:color w:val="auto"/>
          <w:sz w:val="48"/>
          <w:szCs w:val="48"/>
          <w:lang w:val="en-US" w:eastAsia="zh-CN"/>
        </w:rPr>
        <w:t>9</w:t>
      </w:r>
      <w:r>
        <w:rPr>
          <w:rFonts w:hint="eastAsia" w:ascii="黑体" w:hAnsi="黑体" w:eastAsia="黑体" w:cs="黑体"/>
          <w:color w:val="auto"/>
          <w:sz w:val="48"/>
          <w:szCs w:val="48"/>
        </w:rPr>
        <w:t>年度部门决算表</w:t>
      </w: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sectPr>
          <w:pgSz w:w="11906" w:h="16838"/>
          <w:pgMar w:top="1440" w:right="1800" w:bottom="1440" w:left="180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p>
    <w:p>
      <w:pPr>
        <w:rPr>
          <w:rFonts w:hint="eastAsia" w:ascii="仿宋_GB2312" w:hAnsi="仿宋_GB2312" w:eastAsia="仿宋_GB2312" w:cs="仿宋_GB2312"/>
          <w:color w:val="auto"/>
          <w:sz w:val="32"/>
          <w:szCs w:val="32"/>
        </w:rPr>
      </w:pPr>
    </w:p>
    <w:tbl>
      <w:tblPr>
        <w:tblStyle w:val="5"/>
        <w:tblW w:w="14070" w:type="dxa"/>
        <w:tblInd w:w="0" w:type="dxa"/>
        <w:shd w:val="clear" w:color="auto" w:fill="auto"/>
        <w:tblLayout w:type="fixed"/>
        <w:tblCellMar>
          <w:top w:w="0" w:type="dxa"/>
          <w:left w:w="0" w:type="dxa"/>
          <w:bottom w:w="0" w:type="dxa"/>
          <w:right w:w="0" w:type="dxa"/>
        </w:tblCellMar>
      </w:tblPr>
      <w:tblGrid>
        <w:gridCol w:w="4662"/>
        <w:gridCol w:w="658"/>
        <w:gridCol w:w="1428"/>
        <w:gridCol w:w="4662"/>
        <w:gridCol w:w="658"/>
        <w:gridCol w:w="2002"/>
      </w:tblGrid>
      <w:tr>
        <w:tblPrEx>
          <w:shd w:val="clear" w:color="auto" w:fill="auto"/>
          <w:tblCellMar>
            <w:top w:w="0" w:type="dxa"/>
            <w:left w:w="0" w:type="dxa"/>
            <w:bottom w:w="0" w:type="dxa"/>
            <w:right w:w="0" w:type="dxa"/>
          </w:tblCellMar>
        </w:tblPrEx>
        <w:trPr>
          <w:trHeight w:val="390" w:hRule="atLeast"/>
        </w:trPr>
        <w:tc>
          <w:tcPr>
            <w:tcW w:w="14070" w:type="dxa"/>
            <w:gridSpan w:val="6"/>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auto"/>
                <w:sz w:val="20"/>
                <w:szCs w:val="20"/>
                <w:u w:val="none"/>
              </w:rPr>
            </w:pPr>
            <w:r>
              <w:rPr>
                <w:rFonts w:hint="eastAsia" w:ascii="宋体" w:hAnsi="宋体" w:eastAsia="宋体" w:cs="宋体"/>
                <w:i w:val="0"/>
                <w:color w:val="auto"/>
                <w:kern w:val="0"/>
                <w:sz w:val="30"/>
                <w:szCs w:val="30"/>
                <w:u w:val="none"/>
                <w:lang w:val="en-US" w:eastAsia="zh-CN" w:bidi="ar"/>
              </w:rPr>
              <w:t>收入支出决算总表</w:t>
            </w:r>
          </w:p>
        </w:tc>
      </w:tr>
      <w:tr>
        <w:tblPrEx>
          <w:tblCellMar>
            <w:top w:w="0" w:type="dxa"/>
            <w:left w:w="0" w:type="dxa"/>
            <w:bottom w:w="0" w:type="dxa"/>
            <w:right w:w="0" w:type="dxa"/>
          </w:tblCellMar>
        </w:tblPrEx>
        <w:trPr>
          <w:trHeight w:val="255" w:hRule="atLeast"/>
        </w:trPr>
        <w:tc>
          <w:tcPr>
            <w:tcW w:w="466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5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2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466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5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002"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公开01表</w:t>
            </w:r>
          </w:p>
        </w:tc>
      </w:tr>
      <w:tr>
        <w:tblPrEx>
          <w:tblCellMar>
            <w:top w:w="0" w:type="dxa"/>
            <w:left w:w="0" w:type="dxa"/>
            <w:bottom w:w="0" w:type="dxa"/>
            <w:right w:w="0" w:type="dxa"/>
          </w:tblCellMar>
        </w:tblPrEx>
        <w:trPr>
          <w:trHeight w:val="255" w:hRule="atLeast"/>
        </w:trPr>
        <w:tc>
          <w:tcPr>
            <w:tcW w:w="4662"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部门：淮阳区扶贫开发办公室</w:t>
            </w:r>
          </w:p>
        </w:tc>
        <w:tc>
          <w:tcPr>
            <w:tcW w:w="65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2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466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5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002"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6748" w:type="dxa"/>
            <w:gridSpan w:val="3"/>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收入</w:t>
            </w:r>
          </w:p>
        </w:tc>
        <w:tc>
          <w:tcPr>
            <w:tcW w:w="7322" w:type="dxa"/>
            <w:gridSpan w:val="3"/>
            <w:tcBorders>
              <w:top w:val="single" w:color="000000" w:sz="4" w:space="0"/>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支出</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2002" w:type="dxa"/>
            <w:tcBorders>
              <w:top w:val="nil"/>
              <w:left w:val="nil"/>
              <w:bottom w:val="single" w:color="000000" w:sz="4" w:space="0"/>
              <w:right w:val="single" w:color="000000" w:sz="4" w:space="0"/>
            </w:tcBorders>
            <w:shd w:val="clear" w:color="FFFFFF"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002" w:type="dxa"/>
            <w:tcBorders>
              <w:top w:val="nil"/>
              <w:left w:val="nil"/>
              <w:bottom w:val="single" w:color="000000" w:sz="4" w:space="0"/>
              <w:right w:val="single" w:color="000000" w:sz="4" w:space="0"/>
            </w:tcBorders>
            <w:shd w:val="clear" w:color="FFFFFF"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一、一般公共预算财政拨款收入</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一、一般公共服务支出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29</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二、政府性基金预算财政拨款收入</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二、外交支出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三、上级补助收入</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三、国防支出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四、事业收入</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四、公共安全支出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32</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五、经营收入</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五、教育支出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33</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六、附属单位上缴收入</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六、科学技术支出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34</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七、其他收入</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七、文化旅游体育与传媒支出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八、社会保障和就业支出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12.52</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九、卫生健康支出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十、节能环保支出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38</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十一、城乡社区支出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十二、农林水支出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40</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42,958.05</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十三、交通运输支出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41</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十四、资源勘探信息等支出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十五、商业服务业等支出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43</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十六、金融支出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44</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17</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十七、援助其他地区支出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45</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十八、自然资源海洋气象等支出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46</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19</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十九、住房保障支出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二十、粮油物资储备支出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48</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二十一、灾害防治及应急管理支出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49</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二十二、其他支出</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23</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本年收入合计</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24</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本年支出合计</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52</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用事业基金弥补收支差额</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25</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结余分配</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53</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年初结转和结余</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年末结转和结余</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4662"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28</w:t>
            </w:r>
          </w:p>
        </w:tc>
        <w:tc>
          <w:tcPr>
            <w:tcW w:w="14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c>
          <w:tcPr>
            <w:tcW w:w="466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65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56</w:t>
            </w:r>
          </w:p>
        </w:tc>
        <w:tc>
          <w:tcPr>
            <w:tcW w:w="2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r>
      <w:tr>
        <w:tblPrEx>
          <w:tblCellMar>
            <w:top w:w="0" w:type="dxa"/>
            <w:left w:w="0" w:type="dxa"/>
            <w:bottom w:w="0" w:type="dxa"/>
            <w:right w:w="0" w:type="dxa"/>
          </w:tblCellMar>
        </w:tblPrEx>
        <w:trPr>
          <w:trHeight w:val="308" w:hRule="atLeast"/>
        </w:trPr>
        <w:tc>
          <w:tcPr>
            <w:tcW w:w="1407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注：本表反映部门本年度的总收支和年末结转结余情况。本表金额转换为万元时，因四舍五入可能存在尾差。</w:t>
            </w:r>
          </w:p>
        </w:tc>
      </w:tr>
    </w:tbl>
    <w:p>
      <w:pPr>
        <w:rPr>
          <w:rFonts w:hint="eastAsia" w:ascii="仿宋_GB2312" w:hAnsi="仿宋_GB2312" w:eastAsia="仿宋_GB2312" w:cs="仿宋_GB2312"/>
          <w:color w:val="auto"/>
          <w:sz w:val="32"/>
          <w:szCs w:val="32"/>
        </w:rPr>
        <w:sectPr>
          <w:pgSz w:w="16838" w:h="11906" w:orient="landscape"/>
          <w:pgMar w:top="1803" w:right="1440" w:bottom="1803" w:left="144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p>
    <w:tbl>
      <w:tblPr>
        <w:tblStyle w:val="5"/>
        <w:tblpPr w:leftFromText="180" w:rightFromText="180" w:vertAnchor="text" w:horzAnchor="page" w:tblpXSpec="center" w:tblpY="615"/>
        <w:tblOverlap w:val="never"/>
        <w:tblW w:w="13988" w:type="dxa"/>
        <w:jc w:val="center"/>
        <w:shd w:val="clear" w:color="auto" w:fill="auto"/>
        <w:tblLayout w:type="fixed"/>
        <w:tblCellMar>
          <w:top w:w="0" w:type="dxa"/>
          <w:left w:w="0" w:type="dxa"/>
          <w:bottom w:w="0" w:type="dxa"/>
          <w:right w:w="0" w:type="dxa"/>
        </w:tblCellMar>
      </w:tblPr>
      <w:tblGrid>
        <w:gridCol w:w="2630"/>
        <w:gridCol w:w="36"/>
        <w:gridCol w:w="36"/>
        <w:gridCol w:w="3770"/>
        <w:gridCol w:w="1213"/>
        <w:gridCol w:w="1213"/>
        <w:gridCol w:w="978"/>
        <w:gridCol w:w="725"/>
        <w:gridCol w:w="725"/>
        <w:gridCol w:w="1231"/>
        <w:gridCol w:w="1431"/>
      </w:tblGrid>
      <w:tr>
        <w:tblPrEx>
          <w:shd w:val="clear" w:color="auto" w:fill="auto"/>
          <w:tblCellMar>
            <w:top w:w="0" w:type="dxa"/>
            <w:left w:w="0" w:type="dxa"/>
            <w:bottom w:w="0" w:type="dxa"/>
            <w:right w:w="0" w:type="dxa"/>
          </w:tblCellMar>
        </w:tblPrEx>
        <w:trPr>
          <w:trHeight w:val="390" w:hRule="atLeast"/>
          <w:jc w:val="center"/>
        </w:trPr>
        <w:tc>
          <w:tcPr>
            <w:tcW w:w="13988" w:type="dxa"/>
            <w:gridSpan w:val="11"/>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auto"/>
                <w:sz w:val="20"/>
                <w:szCs w:val="20"/>
                <w:u w:val="none"/>
              </w:rPr>
            </w:pPr>
            <w:r>
              <w:rPr>
                <w:rFonts w:hint="eastAsia" w:ascii="宋体" w:hAnsi="宋体" w:eastAsia="宋体" w:cs="宋体"/>
                <w:i w:val="0"/>
                <w:color w:val="auto"/>
                <w:kern w:val="0"/>
                <w:sz w:val="30"/>
                <w:szCs w:val="30"/>
                <w:u w:val="none"/>
                <w:lang w:val="en-US" w:eastAsia="zh-CN" w:bidi="ar"/>
              </w:rPr>
              <w:t>收入决算表</w:t>
            </w:r>
          </w:p>
        </w:tc>
      </w:tr>
      <w:tr>
        <w:tblPrEx>
          <w:tblCellMar>
            <w:top w:w="0" w:type="dxa"/>
            <w:left w:w="0" w:type="dxa"/>
            <w:bottom w:w="0" w:type="dxa"/>
            <w:right w:w="0" w:type="dxa"/>
          </w:tblCellMar>
        </w:tblPrEx>
        <w:trPr>
          <w:trHeight w:val="255" w:hRule="atLeast"/>
          <w:jc w:val="center"/>
        </w:trPr>
        <w:tc>
          <w:tcPr>
            <w:tcW w:w="26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7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2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2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7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7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7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23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3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公开02表</w:t>
            </w:r>
          </w:p>
        </w:tc>
      </w:tr>
      <w:tr>
        <w:tblPrEx>
          <w:tblCellMar>
            <w:top w:w="0" w:type="dxa"/>
            <w:left w:w="0" w:type="dxa"/>
            <w:bottom w:w="0" w:type="dxa"/>
            <w:right w:w="0" w:type="dxa"/>
          </w:tblCellMar>
        </w:tblPrEx>
        <w:trPr>
          <w:trHeight w:val="255" w:hRule="atLeast"/>
          <w:jc w:val="center"/>
        </w:trPr>
        <w:tc>
          <w:tcPr>
            <w:tcW w:w="263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部门：淮阳区扶贫开发办公室</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7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2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2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7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7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7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23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3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jc w:val="center"/>
        </w:trPr>
        <w:tc>
          <w:tcPr>
            <w:tcW w:w="6472"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213"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本年收入合计</w:t>
            </w:r>
          </w:p>
        </w:tc>
        <w:tc>
          <w:tcPr>
            <w:tcW w:w="1213"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财政拨款收入</w:t>
            </w:r>
          </w:p>
        </w:tc>
        <w:tc>
          <w:tcPr>
            <w:tcW w:w="978"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上级补助收入</w:t>
            </w:r>
          </w:p>
        </w:tc>
        <w:tc>
          <w:tcPr>
            <w:tcW w:w="72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事业收入</w:t>
            </w:r>
          </w:p>
        </w:tc>
        <w:tc>
          <w:tcPr>
            <w:tcW w:w="72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经营收入</w:t>
            </w:r>
          </w:p>
        </w:tc>
        <w:tc>
          <w:tcPr>
            <w:tcW w:w="1231"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附属单位上缴收入</w:t>
            </w:r>
          </w:p>
        </w:tc>
        <w:tc>
          <w:tcPr>
            <w:tcW w:w="1431"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其他收入</w:t>
            </w:r>
          </w:p>
        </w:tc>
      </w:tr>
      <w:tr>
        <w:tblPrEx>
          <w:tblCellMar>
            <w:top w:w="0" w:type="dxa"/>
            <w:left w:w="0" w:type="dxa"/>
            <w:bottom w:w="0" w:type="dxa"/>
            <w:right w:w="0" w:type="dxa"/>
          </w:tblCellMar>
        </w:tblPrEx>
        <w:trPr>
          <w:trHeight w:val="308" w:hRule="atLeast"/>
          <w:jc w:val="center"/>
        </w:trPr>
        <w:tc>
          <w:tcPr>
            <w:tcW w:w="2702" w:type="dxa"/>
            <w:gridSpan w:val="3"/>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3770" w:type="dxa"/>
            <w:vMerge w:val="restar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213"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13"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78"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7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7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31"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31"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jc w:val="center"/>
        </w:trPr>
        <w:tc>
          <w:tcPr>
            <w:tcW w:w="2702"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770" w:type="dxa"/>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13"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13"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78"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7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7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31"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31"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jc w:val="center"/>
        </w:trPr>
        <w:tc>
          <w:tcPr>
            <w:tcW w:w="2702"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770" w:type="dxa"/>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13"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13"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78"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7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7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31"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31"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jc w:val="center"/>
        </w:trPr>
        <w:tc>
          <w:tcPr>
            <w:tcW w:w="6472" w:type="dxa"/>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121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213"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97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72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72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123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143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r>
      <w:tr>
        <w:tblPrEx>
          <w:tblCellMar>
            <w:top w:w="0" w:type="dxa"/>
            <w:left w:w="0" w:type="dxa"/>
            <w:bottom w:w="0" w:type="dxa"/>
            <w:right w:w="0" w:type="dxa"/>
          </w:tblCellMar>
        </w:tblPrEx>
        <w:trPr>
          <w:trHeight w:val="308" w:hRule="atLeast"/>
          <w:jc w:val="center"/>
        </w:trPr>
        <w:tc>
          <w:tcPr>
            <w:tcW w:w="6472" w:type="dxa"/>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21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42,972.68</w:t>
            </w:r>
          </w:p>
        </w:tc>
        <w:tc>
          <w:tcPr>
            <w:tcW w:w="1213"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42,972.68</w:t>
            </w:r>
          </w:p>
        </w:tc>
        <w:tc>
          <w:tcPr>
            <w:tcW w:w="97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社会保障和就业支出</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12.52</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12.52</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行政事业单位离退休</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机关事业单位基本养老保险缴费支出</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20899</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其他社会保障和就业支出</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2089901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其他社会保障和就业支出</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卫生健康支出</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行政事业单位医疗</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事业单位医疗</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农林水支出</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42,958.05</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42,958.05</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农业</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2130142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农村道路建设</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扶贫</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37,886.19</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37,886.19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行政运行</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361.69</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361.69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一般行政管理事务</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26.41</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26.41</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机关服务</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188.63</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188.63</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2130504</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农村基础设施建设</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27,077.03</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27,077.03</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生产发展</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7,667.05</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7,667.05</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2130506</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社会发展</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518.44</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518.44</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2130599</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其他扶贫支出</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2,046.95</w:t>
            </w: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2,046.95</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2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988" w:type="dxa"/>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注：本表反映部门本年度取得的各项收入情况。本表金额转换为万元时，因四舍五入可能存在尾差。</w:t>
            </w:r>
          </w:p>
        </w:tc>
      </w:tr>
    </w:tbl>
    <w:p>
      <w:pPr>
        <w:rPr>
          <w:rFonts w:hint="eastAsia" w:ascii="仿宋_GB2312" w:hAnsi="仿宋_GB2312" w:eastAsia="仿宋_GB2312" w:cs="仿宋_GB2312"/>
          <w:color w:val="auto"/>
          <w:sz w:val="32"/>
          <w:szCs w:val="32"/>
        </w:rPr>
      </w:pPr>
    </w:p>
    <w:p>
      <w:pPr>
        <w:rPr>
          <w:rFonts w:hint="eastAsia" w:ascii="仿宋_GB2312" w:hAnsi="仿宋_GB2312" w:eastAsia="仿宋_GB2312" w:cs="仿宋_GB2312"/>
          <w:color w:val="auto"/>
          <w:sz w:val="32"/>
          <w:szCs w:val="32"/>
        </w:rPr>
        <w:sectPr>
          <w:pgSz w:w="16838" w:h="11906" w:orient="landscape"/>
          <w:pgMar w:top="1800" w:right="1440" w:bottom="1800" w:left="144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p>
    <w:tbl>
      <w:tblPr>
        <w:tblStyle w:val="5"/>
        <w:tblW w:w="13988" w:type="dxa"/>
        <w:tblInd w:w="0" w:type="dxa"/>
        <w:shd w:val="clear" w:color="auto" w:fill="auto"/>
        <w:tblLayout w:type="fixed"/>
        <w:tblCellMar>
          <w:top w:w="0" w:type="dxa"/>
          <w:left w:w="0" w:type="dxa"/>
          <w:bottom w:w="0" w:type="dxa"/>
          <w:right w:w="0" w:type="dxa"/>
        </w:tblCellMar>
      </w:tblPr>
      <w:tblGrid>
        <w:gridCol w:w="2630"/>
        <w:gridCol w:w="36"/>
        <w:gridCol w:w="36"/>
        <w:gridCol w:w="3770"/>
        <w:gridCol w:w="1344"/>
        <w:gridCol w:w="906"/>
        <w:gridCol w:w="1028"/>
        <w:gridCol w:w="1335"/>
        <w:gridCol w:w="902"/>
        <w:gridCol w:w="2001"/>
      </w:tblGrid>
      <w:tr>
        <w:tblPrEx>
          <w:shd w:val="clear" w:color="auto" w:fill="auto"/>
          <w:tblCellMar>
            <w:top w:w="0" w:type="dxa"/>
            <w:left w:w="0" w:type="dxa"/>
            <w:bottom w:w="0" w:type="dxa"/>
            <w:right w:w="0" w:type="dxa"/>
          </w:tblCellMar>
        </w:tblPrEx>
        <w:trPr>
          <w:trHeight w:val="390" w:hRule="atLeast"/>
        </w:trPr>
        <w:tc>
          <w:tcPr>
            <w:tcW w:w="13988" w:type="dxa"/>
            <w:gridSpan w:val="10"/>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auto"/>
                <w:sz w:val="20"/>
                <w:szCs w:val="20"/>
                <w:u w:val="none"/>
              </w:rPr>
            </w:pPr>
            <w:r>
              <w:rPr>
                <w:rFonts w:hint="eastAsia" w:ascii="宋体" w:hAnsi="宋体" w:eastAsia="宋体" w:cs="宋体"/>
                <w:i w:val="0"/>
                <w:color w:val="auto"/>
                <w:kern w:val="0"/>
                <w:sz w:val="30"/>
                <w:szCs w:val="30"/>
                <w:u w:val="none"/>
                <w:lang w:val="en-US" w:eastAsia="zh-CN" w:bidi="ar"/>
              </w:rPr>
              <w:t>支出决算表</w:t>
            </w:r>
          </w:p>
        </w:tc>
      </w:tr>
      <w:tr>
        <w:tblPrEx>
          <w:tblCellMar>
            <w:top w:w="0" w:type="dxa"/>
            <w:left w:w="0" w:type="dxa"/>
            <w:bottom w:w="0" w:type="dxa"/>
            <w:right w:w="0" w:type="dxa"/>
          </w:tblCellMar>
        </w:tblPrEx>
        <w:trPr>
          <w:trHeight w:val="255" w:hRule="atLeast"/>
        </w:trPr>
        <w:tc>
          <w:tcPr>
            <w:tcW w:w="26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7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34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0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2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3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0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00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公开03表</w:t>
            </w:r>
          </w:p>
        </w:tc>
      </w:tr>
      <w:tr>
        <w:tblPrEx>
          <w:tblCellMar>
            <w:top w:w="0" w:type="dxa"/>
            <w:left w:w="0" w:type="dxa"/>
            <w:bottom w:w="0" w:type="dxa"/>
            <w:right w:w="0" w:type="dxa"/>
          </w:tblCellMar>
        </w:tblPrEx>
        <w:trPr>
          <w:trHeight w:val="255" w:hRule="atLeast"/>
        </w:trPr>
        <w:tc>
          <w:tcPr>
            <w:tcW w:w="263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部门：淮阳区扶贫开发办公室</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7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34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0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2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3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0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00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6472"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344"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本年支出合计</w:t>
            </w:r>
          </w:p>
        </w:tc>
        <w:tc>
          <w:tcPr>
            <w:tcW w:w="906"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1028"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c>
          <w:tcPr>
            <w:tcW w:w="133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上缴上级支出</w:t>
            </w:r>
          </w:p>
        </w:tc>
        <w:tc>
          <w:tcPr>
            <w:tcW w:w="902"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经营支出</w:t>
            </w:r>
          </w:p>
        </w:tc>
        <w:tc>
          <w:tcPr>
            <w:tcW w:w="2001"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对附属单位补助支出</w:t>
            </w:r>
          </w:p>
        </w:tc>
      </w:tr>
      <w:tr>
        <w:tblPrEx>
          <w:tblCellMar>
            <w:top w:w="0" w:type="dxa"/>
            <w:left w:w="0" w:type="dxa"/>
            <w:bottom w:w="0" w:type="dxa"/>
            <w:right w:w="0" w:type="dxa"/>
          </w:tblCellMar>
        </w:tblPrEx>
        <w:trPr>
          <w:trHeight w:val="308" w:hRule="atLeast"/>
        </w:trPr>
        <w:tc>
          <w:tcPr>
            <w:tcW w:w="2702" w:type="dxa"/>
            <w:gridSpan w:val="3"/>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3770" w:type="dxa"/>
            <w:vMerge w:val="restar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344"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06"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28"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33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02"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001"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702"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770" w:type="dxa"/>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344"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06"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28"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33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02"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001"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702"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770" w:type="dxa"/>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344"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06"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28"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33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902"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001"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6472" w:type="dxa"/>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1344"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906"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028"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133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90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2001"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r>
      <w:tr>
        <w:tblPrEx>
          <w:tblCellMar>
            <w:top w:w="0" w:type="dxa"/>
            <w:left w:w="0" w:type="dxa"/>
            <w:bottom w:w="0" w:type="dxa"/>
            <w:right w:w="0" w:type="dxa"/>
          </w:tblCellMar>
        </w:tblPrEx>
        <w:trPr>
          <w:trHeight w:val="308" w:hRule="atLeast"/>
        </w:trPr>
        <w:tc>
          <w:tcPr>
            <w:tcW w:w="6472" w:type="dxa"/>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34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42,972.68</w:t>
            </w:r>
          </w:p>
        </w:tc>
        <w:tc>
          <w:tcPr>
            <w:tcW w:w="90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564.94</w:t>
            </w:r>
          </w:p>
        </w:tc>
        <w:tc>
          <w:tcPr>
            <w:tcW w:w="102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42,407.74</w:t>
            </w:r>
          </w:p>
        </w:tc>
        <w:tc>
          <w:tcPr>
            <w:tcW w:w="13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社会保障和就业支出</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12.52</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12.52</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行政事业单位离退休</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机关事业单位基本养老保险缴费支出</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20899</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其他社会保障和就业支出</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2089901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其他社会保障和就业支出</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卫生健康支出</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行政事业单位医疗</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事业单位医疗</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农林水支出</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42,958.05</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550.31</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42,407.74</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农业</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2130142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农村道路建设</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扶贫</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37,886.19</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550.31</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37,335.88</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2130501</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行政运行</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361.69</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361.69</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2130502</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一般行政管理事务</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26.41</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26.41</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2130503</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机关服务</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188.63</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188.63</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2130504</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农村基础设施建设</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27,077.03</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27,077.03</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2130505</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生产发展</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7,667.05</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7,667.05</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2130506</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社会发展</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518.44</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518.44</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2130599</w:t>
            </w:r>
          </w:p>
        </w:tc>
        <w:tc>
          <w:tcPr>
            <w:tcW w:w="3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其他扶贫支出</w:t>
            </w:r>
          </w:p>
        </w:tc>
        <w:tc>
          <w:tcPr>
            <w:tcW w:w="13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2,046.95</w:t>
            </w:r>
          </w:p>
        </w:tc>
        <w:tc>
          <w:tcPr>
            <w:tcW w:w="9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0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2,046.95</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988"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注：本表反映部门本年度各项支出情况。本表金额转换为万元时，因四舍五入可能存在尾差。</w:t>
            </w:r>
          </w:p>
        </w:tc>
      </w:tr>
    </w:tbl>
    <w:p>
      <w:pPr>
        <w:rPr>
          <w:rFonts w:hint="eastAsia" w:ascii="仿宋_GB2312" w:hAnsi="仿宋_GB2312" w:eastAsia="仿宋_GB2312" w:cs="仿宋_GB2312"/>
          <w:color w:val="auto"/>
          <w:sz w:val="32"/>
          <w:szCs w:val="32"/>
        </w:rPr>
        <w:sectPr>
          <w:pgSz w:w="16838" w:h="11906" w:orient="landscape"/>
          <w:pgMar w:top="1800" w:right="1440" w:bottom="1800" w:left="144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p>
    <w:tbl>
      <w:tblPr>
        <w:tblStyle w:val="5"/>
        <w:tblW w:w="13925" w:type="dxa"/>
        <w:tblInd w:w="0" w:type="dxa"/>
        <w:shd w:val="clear" w:color="auto" w:fill="auto"/>
        <w:tblLayout w:type="fixed"/>
        <w:tblCellMar>
          <w:top w:w="0" w:type="dxa"/>
          <w:left w:w="0" w:type="dxa"/>
          <w:bottom w:w="0" w:type="dxa"/>
          <w:right w:w="0" w:type="dxa"/>
        </w:tblCellMar>
      </w:tblPr>
      <w:tblGrid>
        <w:gridCol w:w="2975"/>
        <w:gridCol w:w="1095"/>
        <w:gridCol w:w="1425"/>
        <w:gridCol w:w="3285"/>
        <w:gridCol w:w="1005"/>
        <w:gridCol w:w="1095"/>
        <w:gridCol w:w="1530"/>
        <w:gridCol w:w="1515"/>
      </w:tblGrid>
      <w:tr>
        <w:tblPrEx>
          <w:shd w:val="clear" w:color="auto" w:fill="auto"/>
          <w:tblCellMar>
            <w:top w:w="0" w:type="dxa"/>
            <w:left w:w="0" w:type="dxa"/>
            <w:bottom w:w="0" w:type="dxa"/>
            <w:right w:w="0" w:type="dxa"/>
          </w:tblCellMar>
        </w:tblPrEx>
        <w:trPr>
          <w:trHeight w:val="390" w:hRule="atLeast"/>
        </w:trPr>
        <w:tc>
          <w:tcPr>
            <w:tcW w:w="13925"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auto"/>
                <w:sz w:val="20"/>
                <w:szCs w:val="20"/>
                <w:u w:val="none"/>
              </w:rPr>
            </w:pPr>
            <w:r>
              <w:rPr>
                <w:rFonts w:hint="eastAsia" w:ascii="宋体" w:hAnsi="宋体" w:eastAsia="宋体" w:cs="宋体"/>
                <w:i w:val="0"/>
                <w:color w:val="auto"/>
                <w:kern w:val="0"/>
                <w:sz w:val="30"/>
                <w:szCs w:val="30"/>
                <w:u w:val="none"/>
                <w:lang w:val="en-US" w:eastAsia="zh-CN" w:bidi="ar"/>
              </w:rPr>
              <w:t>财政拨款收入支出决算总表</w:t>
            </w:r>
          </w:p>
        </w:tc>
      </w:tr>
      <w:tr>
        <w:tblPrEx>
          <w:tblCellMar>
            <w:top w:w="0" w:type="dxa"/>
            <w:left w:w="0" w:type="dxa"/>
            <w:bottom w:w="0" w:type="dxa"/>
            <w:right w:w="0" w:type="dxa"/>
          </w:tblCellMar>
        </w:tblPrEx>
        <w:trPr>
          <w:trHeight w:val="255" w:hRule="atLeast"/>
        </w:trPr>
        <w:tc>
          <w:tcPr>
            <w:tcW w:w="29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2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0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5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51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公开04表</w:t>
            </w:r>
          </w:p>
        </w:tc>
      </w:tr>
      <w:tr>
        <w:tblPrEx>
          <w:tblCellMar>
            <w:top w:w="0" w:type="dxa"/>
            <w:left w:w="0" w:type="dxa"/>
            <w:bottom w:w="0" w:type="dxa"/>
            <w:right w:w="0" w:type="dxa"/>
          </w:tblCellMar>
        </w:tblPrEx>
        <w:trPr>
          <w:trHeight w:val="255" w:hRule="atLeast"/>
        </w:trPr>
        <w:tc>
          <w:tcPr>
            <w:tcW w:w="297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部门：淮阳区扶贫开发办公室</w:t>
            </w: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4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2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0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5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51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5495" w:type="dxa"/>
            <w:gridSpan w:val="3"/>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收     入</w:t>
            </w:r>
          </w:p>
        </w:tc>
        <w:tc>
          <w:tcPr>
            <w:tcW w:w="8430" w:type="dxa"/>
            <w:gridSpan w:val="5"/>
            <w:tcBorders>
              <w:top w:val="single" w:color="000000" w:sz="4" w:space="0"/>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支     出</w:t>
            </w:r>
          </w:p>
        </w:tc>
      </w:tr>
      <w:tr>
        <w:tblPrEx>
          <w:tblCellMar>
            <w:top w:w="0" w:type="dxa"/>
            <w:left w:w="0" w:type="dxa"/>
            <w:bottom w:w="0" w:type="dxa"/>
            <w:right w:w="0" w:type="dxa"/>
          </w:tblCellMar>
        </w:tblPrEx>
        <w:trPr>
          <w:trHeight w:val="292" w:hRule="atLeast"/>
        </w:trPr>
        <w:tc>
          <w:tcPr>
            <w:tcW w:w="2975" w:type="dxa"/>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095"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1425"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c>
          <w:tcPr>
            <w:tcW w:w="3285"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005"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1095" w:type="dxa"/>
            <w:vMerge w:val="restart"/>
            <w:tcBorders>
              <w:top w:val="nil"/>
              <w:left w:val="nil"/>
              <w:bottom w:val="single" w:color="000000" w:sz="4" w:space="0"/>
              <w:right w:val="single" w:color="000000" w:sz="4" w:space="0"/>
            </w:tcBorders>
            <w:shd w:val="clear" w:color="FFFFFF"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530" w:type="dxa"/>
            <w:vMerge w:val="restart"/>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一般公共预算财政拨款</w:t>
            </w:r>
          </w:p>
        </w:tc>
        <w:tc>
          <w:tcPr>
            <w:tcW w:w="1515" w:type="dxa"/>
            <w:vMerge w:val="restart"/>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政府性基金预算财政拨款</w:t>
            </w:r>
          </w:p>
        </w:tc>
      </w:tr>
      <w:tr>
        <w:tblPrEx>
          <w:tblCellMar>
            <w:top w:w="0" w:type="dxa"/>
            <w:left w:w="0" w:type="dxa"/>
            <w:bottom w:w="0" w:type="dxa"/>
            <w:right w:w="0" w:type="dxa"/>
          </w:tblCellMar>
        </w:tblPrEx>
        <w:trPr>
          <w:trHeight w:val="615" w:hRule="atLeast"/>
        </w:trPr>
        <w:tc>
          <w:tcPr>
            <w:tcW w:w="2975" w:type="dxa"/>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95"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25"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285"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05"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95" w:type="dxa"/>
            <w:vMerge w:val="continue"/>
            <w:tcBorders>
              <w:top w:val="nil"/>
              <w:left w:val="nil"/>
              <w:bottom w:val="single" w:color="000000" w:sz="4" w:space="0"/>
              <w:right w:val="single" w:color="000000" w:sz="4" w:space="0"/>
            </w:tcBorders>
            <w:shd w:val="clear" w:color="FFFFFF"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530" w:type="dxa"/>
            <w:vMerge w:val="continue"/>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515" w:type="dxa"/>
            <w:vMerge w:val="continue"/>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FFFFFF"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530" w:type="dxa"/>
            <w:tcBorders>
              <w:top w:val="nil"/>
              <w:left w:val="nil"/>
              <w:bottom w:val="single" w:color="000000" w:sz="4" w:space="0"/>
              <w:right w:val="single" w:color="000000" w:sz="4" w:space="0"/>
            </w:tcBorders>
            <w:shd w:val="clear" w:color="FFFFFF"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1515" w:type="dxa"/>
            <w:tcBorders>
              <w:top w:val="nil"/>
              <w:left w:val="nil"/>
              <w:bottom w:val="single" w:color="000000" w:sz="4" w:space="0"/>
              <w:right w:val="single" w:color="000000" w:sz="4" w:space="0"/>
            </w:tcBorders>
            <w:shd w:val="clear" w:color="FFFFFF"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一、一般公共预算财政拨款</w:t>
            </w: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一、一般公共服务支出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二、政府性基金预算财政拨款</w:t>
            </w: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二、外交支出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三、国防支出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32</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四、公共安全支出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33</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五、教育支出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34</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六、科学技术支出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七、文化旅游体育与传媒支出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八、社会保障和就业支出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12.52</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12.52</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九、卫生健康支出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38</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十、节能环保支出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十一、城乡社区支出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十二、农林水支出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42,958.05</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42,958.05</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十三、交通运输支出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十四、资源勘探信息等支出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43</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十五、商业服务业等支出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44</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十六、金融支出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45</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17</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十七、援助其他地区支出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46</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十八、自然资源海洋气象等支出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19</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十九、住房保障支出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48</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二十、粮油物资储备支出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49</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二十一、灾害防治及应急管理支出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二十二、其他支出</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23</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52</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本年收入合计</w:t>
            </w: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24</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本年支出合计</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53</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年初财政拨款结转和结余</w:t>
            </w: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25</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年末财政拨款结转和结余</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一、一般公共预算财政拨款</w:t>
            </w: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二、政府性基金预算财政拨款</w:t>
            </w: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56</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28</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57</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975"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109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29</w:t>
            </w:r>
          </w:p>
        </w:tc>
        <w:tc>
          <w:tcPr>
            <w:tcW w:w="142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c>
          <w:tcPr>
            <w:tcW w:w="328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100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58</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42,972.68</w:t>
            </w:r>
          </w:p>
        </w:tc>
        <w:tc>
          <w:tcPr>
            <w:tcW w:w="15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554" w:hRule="atLeast"/>
        </w:trPr>
        <w:tc>
          <w:tcPr>
            <w:tcW w:w="13925"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注：本表反映部门本年度一般公共预算财政拨款和政府性基金预算财政拨款的总收支和年末结转结余情况。本表金额转换为万元时，因四舍五入可能存在尾差。</w:t>
            </w:r>
          </w:p>
        </w:tc>
      </w:tr>
    </w:tbl>
    <w:p>
      <w:pPr>
        <w:rPr>
          <w:rFonts w:hint="eastAsia" w:ascii="仿宋_GB2312" w:hAnsi="仿宋_GB2312" w:eastAsia="仿宋_GB2312" w:cs="仿宋_GB2312"/>
          <w:color w:val="auto"/>
          <w:sz w:val="32"/>
          <w:szCs w:val="32"/>
        </w:rPr>
        <w:sectPr>
          <w:pgSz w:w="16838" w:h="11906" w:orient="landscape"/>
          <w:pgMar w:top="1800" w:right="1440" w:bottom="1800" w:left="144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p>
    <w:tbl>
      <w:tblPr>
        <w:tblStyle w:val="5"/>
        <w:tblW w:w="13959" w:type="dxa"/>
        <w:tblInd w:w="0" w:type="dxa"/>
        <w:shd w:val="clear" w:color="auto" w:fill="auto"/>
        <w:tblLayout w:type="fixed"/>
        <w:tblCellMar>
          <w:top w:w="0" w:type="dxa"/>
          <w:left w:w="0" w:type="dxa"/>
          <w:bottom w:w="0" w:type="dxa"/>
          <w:right w:w="0" w:type="dxa"/>
        </w:tblCellMar>
      </w:tblPr>
      <w:tblGrid>
        <w:gridCol w:w="2736"/>
        <w:gridCol w:w="37"/>
        <w:gridCol w:w="37"/>
        <w:gridCol w:w="3922"/>
        <w:gridCol w:w="2168"/>
        <w:gridCol w:w="2355"/>
        <w:gridCol w:w="2704"/>
      </w:tblGrid>
      <w:tr>
        <w:tblPrEx>
          <w:shd w:val="clear" w:color="auto" w:fill="auto"/>
          <w:tblCellMar>
            <w:top w:w="0" w:type="dxa"/>
            <w:left w:w="0" w:type="dxa"/>
            <w:bottom w:w="0" w:type="dxa"/>
            <w:right w:w="0" w:type="dxa"/>
          </w:tblCellMar>
        </w:tblPrEx>
        <w:trPr>
          <w:trHeight w:val="390" w:hRule="atLeast"/>
        </w:trPr>
        <w:tc>
          <w:tcPr>
            <w:tcW w:w="13959" w:type="dxa"/>
            <w:gridSpan w:val="7"/>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auto"/>
                <w:sz w:val="20"/>
                <w:szCs w:val="20"/>
                <w:u w:val="none"/>
              </w:rPr>
            </w:pPr>
            <w:r>
              <w:rPr>
                <w:rFonts w:hint="eastAsia" w:ascii="宋体" w:hAnsi="宋体" w:eastAsia="宋体" w:cs="宋体"/>
                <w:i w:val="0"/>
                <w:color w:val="auto"/>
                <w:kern w:val="0"/>
                <w:sz w:val="30"/>
                <w:szCs w:val="30"/>
                <w:u w:val="none"/>
                <w:lang w:val="en-US" w:eastAsia="zh-CN" w:bidi="ar"/>
              </w:rPr>
              <w:t>一般公共预算财政拨款支出决算表</w:t>
            </w:r>
          </w:p>
        </w:tc>
      </w:tr>
      <w:tr>
        <w:tblPrEx>
          <w:tblCellMar>
            <w:top w:w="0" w:type="dxa"/>
            <w:left w:w="0" w:type="dxa"/>
            <w:bottom w:w="0" w:type="dxa"/>
            <w:right w:w="0" w:type="dxa"/>
          </w:tblCellMar>
        </w:tblPrEx>
        <w:trPr>
          <w:trHeight w:val="255" w:hRule="atLeast"/>
        </w:trPr>
        <w:tc>
          <w:tcPr>
            <w:tcW w:w="27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92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16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35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704"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公开05表</w:t>
            </w:r>
          </w:p>
        </w:tc>
      </w:tr>
      <w:tr>
        <w:tblPrEx>
          <w:tblCellMar>
            <w:top w:w="0" w:type="dxa"/>
            <w:left w:w="0" w:type="dxa"/>
            <w:bottom w:w="0" w:type="dxa"/>
            <w:right w:w="0" w:type="dxa"/>
          </w:tblCellMar>
        </w:tblPrEx>
        <w:trPr>
          <w:trHeight w:val="255" w:hRule="atLeast"/>
        </w:trPr>
        <w:tc>
          <w:tcPr>
            <w:tcW w:w="273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部门：淮阳区扶贫开发办公室</w:t>
            </w:r>
          </w:p>
        </w:tc>
        <w:tc>
          <w:tcPr>
            <w:tcW w:w="3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92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16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35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704"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6732"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7227" w:type="dxa"/>
            <w:gridSpan w:val="3"/>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w:t>
            </w:r>
          </w:p>
        </w:tc>
      </w:tr>
      <w:tr>
        <w:tblPrEx>
          <w:tblCellMar>
            <w:top w:w="0" w:type="dxa"/>
            <w:left w:w="0" w:type="dxa"/>
            <w:bottom w:w="0" w:type="dxa"/>
            <w:right w:w="0" w:type="dxa"/>
          </w:tblCellMar>
        </w:tblPrEx>
        <w:trPr>
          <w:trHeight w:val="308" w:hRule="atLeast"/>
        </w:trPr>
        <w:tc>
          <w:tcPr>
            <w:tcW w:w="2810" w:type="dxa"/>
            <w:gridSpan w:val="3"/>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3922" w:type="dxa"/>
            <w:vMerge w:val="restar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2168"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2355"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2704"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r>
      <w:tr>
        <w:tblPrEx>
          <w:tblCellMar>
            <w:top w:w="0" w:type="dxa"/>
            <w:left w:w="0" w:type="dxa"/>
            <w:bottom w:w="0" w:type="dxa"/>
            <w:right w:w="0" w:type="dxa"/>
          </w:tblCellMar>
        </w:tblPrEx>
        <w:trPr>
          <w:trHeight w:val="277" w:hRule="atLeast"/>
        </w:trPr>
        <w:tc>
          <w:tcPr>
            <w:tcW w:w="2810"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922" w:type="dxa"/>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168"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355"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704"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810"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922" w:type="dxa"/>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168"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355"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704"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6732" w:type="dxa"/>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216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235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270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r>
      <w:tr>
        <w:tblPrEx>
          <w:tblCellMar>
            <w:top w:w="0" w:type="dxa"/>
            <w:left w:w="0" w:type="dxa"/>
            <w:bottom w:w="0" w:type="dxa"/>
            <w:right w:w="0" w:type="dxa"/>
          </w:tblCellMar>
        </w:tblPrEx>
        <w:trPr>
          <w:trHeight w:val="308" w:hRule="atLeast"/>
        </w:trPr>
        <w:tc>
          <w:tcPr>
            <w:tcW w:w="6732" w:type="dxa"/>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216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42,972.68</w:t>
            </w:r>
          </w:p>
        </w:tc>
        <w:tc>
          <w:tcPr>
            <w:tcW w:w="235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564.94</w:t>
            </w:r>
          </w:p>
        </w:tc>
        <w:tc>
          <w:tcPr>
            <w:tcW w:w="270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42,407.74</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社会保障和就业支出</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12.52</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12.52</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行政事业单位离退休</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2080505</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机关事业单位基本养老保险缴费支出</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20899</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其他社会保障和就业支出</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2089901</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其他社会保障和就业支出</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卫生健康支出</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行政事业单位医疗</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2101102</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事业单位医疗</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农林水支出</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42,958.05</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550.31</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42,407.74</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21301</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农业</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2130142</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农村道路建设</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5,071.86</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扶贫</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37,886.19</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550.31</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37,335.88</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2130501</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行政运行</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361.69</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361.69</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2130502</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一般行政管理事务</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26.41</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26.41</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2130503</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机关服务</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188.63</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188.63</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2130504</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农村基础设施建设</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27,077.03</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27,077.03</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2130505</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生产发展</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7,667.05</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7,667.05</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2130506</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社会发展</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518.44</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518.44</w:t>
            </w:r>
          </w:p>
        </w:tc>
      </w:tr>
      <w:tr>
        <w:tblPrEx>
          <w:tblCellMar>
            <w:top w:w="0" w:type="dxa"/>
            <w:left w:w="0" w:type="dxa"/>
            <w:bottom w:w="0" w:type="dxa"/>
            <w:right w:w="0" w:type="dxa"/>
          </w:tblCellMar>
        </w:tblPrEx>
        <w:trPr>
          <w:trHeight w:val="308" w:hRule="atLeast"/>
        </w:trPr>
        <w:tc>
          <w:tcPr>
            <w:tcW w:w="281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2130599</w:t>
            </w:r>
          </w:p>
        </w:tc>
        <w:tc>
          <w:tcPr>
            <w:tcW w:w="3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其他扶贫支出</w:t>
            </w:r>
          </w:p>
        </w:tc>
        <w:tc>
          <w:tcPr>
            <w:tcW w:w="21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2,046.95</w:t>
            </w:r>
          </w:p>
        </w:tc>
        <w:tc>
          <w:tcPr>
            <w:tcW w:w="2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27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2,046.95</w:t>
            </w:r>
          </w:p>
        </w:tc>
      </w:tr>
      <w:tr>
        <w:tblPrEx>
          <w:tblCellMar>
            <w:top w:w="0" w:type="dxa"/>
            <w:left w:w="0" w:type="dxa"/>
            <w:bottom w:w="0" w:type="dxa"/>
            <w:right w:w="0" w:type="dxa"/>
          </w:tblCellMar>
        </w:tblPrEx>
        <w:trPr>
          <w:trHeight w:val="308" w:hRule="atLeast"/>
        </w:trPr>
        <w:tc>
          <w:tcPr>
            <w:tcW w:w="13959" w:type="dxa"/>
            <w:gridSpan w:val="7"/>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注：本表反映部门本年度一般公共预算财政拨款支出情况。本表金额转换为万元时，因四舍五入可能存在尾差。</w:t>
            </w:r>
          </w:p>
        </w:tc>
      </w:tr>
    </w:tbl>
    <w:p>
      <w:pPr>
        <w:rPr>
          <w:rFonts w:hint="eastAsia" w:ascii="仿宋_GB2312" w:hAnsi="仿宋_GB2312" w:eastAsia="仿宋_GB2312" w:cs="仿宋_GB2312"/>
          <w:color w:val="auto"/>
          <w:sz w:val="32"/>
          <w:szCs w:val="32"/>
        </w:rPr>
        <w:sectPr>
          <w:pgSz w:w="16838" w:h="11906" w:orient="landscape"/>
          <w:pgMar w:top="1800" w:right="1440" w:bottom="1800" w:left="144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p>
    <w:tbl>
      <w:tblPr>
        <w:tblStyle w:val="5"/>
        <w:tblW w:w="14339" w:type="dxa"/>
        <w:tblInd w:w="0" w:type="dxa"/>
        <w:shd w:val="clear" w:color="auto" w:fill="auto"/>
        <w:tblLayout w:type="fixed"/>
        <w:tblCellMar>
          <w:top w:w="0" w:type="dxa"/>
          <w:left w:w="0" w:type="dxa"/>
          <w:bottom w:w="0" w:type="dxa"/>
          <w:right w:w="0" w:type="dxa"/>
        </w:tblCellMar>
      </w:tblPr>
      <w:tblGrid>
        <w:gridCol w:w="2356"/>
        <w:gridCol w:w="2735"/>
        <w:gridCol w:w="657"/>
        <w:gridCol w:w="617"/>
        <w:gridCol w:w="1650"/>
        <w:gridCol w:w="874"/>
        <w:gridCol w:w="716"/>
        <w:gridCol w:w="3576"/>
        <w:gridCol w:w="1158"/>
      </w:tblGrid>
      <w:tr>
        <w:tblPrEx>
          <w:shd w:val="clear" w:color="auto" w:fill="auto"/>
          <w:tblCellMar>
            <w:top w:w="0" w:type="dxa"/>
            <w:left w:w="0" w:type="dxa"/>
            <w:bottom w:w="0" w:type="dxa"/>
            <w:right w:w="0" w:type="dxa"/>
          </w:tblCellMar>
        </w:tblPrEx>
        <w:trPr>
          <w:trHeight w:val="390" w:hRule="atLeast"/>
        </w:trPr>
        <w:tc>
          <w:tcPr>
            <w:tcW w:w="14339" w:type="dxa"/>
            <w:gridSpan w:val="9"/>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auto"/>
                <w:sz w:val="20"/>
                <w:szCs w:val="20"/>
                <w:u w:val="none"/>
              </w:rPr>
            </w:pPr>
            <w:r>
              <w:rPr>
                <w:rFonts w:hint="eastAsia" w:ascii="宋体" w:hAnsi="宋体" w:eastAsia="宋体" w:cs="宋体"/>
                <w:i w:val="0"/>
                <w:color w:val="auto"/>
                <w:kern w:val="0"/>
                <w:sz w:val="30"/>
                <w:szCs w:val="30"/>
                <w:u w:val="none"/>
                <w:lang w:val="en-US" w:eastAsia="zh-CN" w:bidi="ar"/>
              </w:rPr>
              <w:t>一般公共预算财政拨款基本支出决算表</w:t>
            </w:r>
          </w:p>
        </w:tc>
      </w:tr>
      <w:tr>
        <w:tblPrEx>
          <w:tblCellMar>
            <w:top w:w="0" w:type="dxa"/>
            <w:left w:w="0" w:type="dxa"/>
            <w:bottom w:w="0" w:type="dxa"/>
            <w:right w:w="0" w:type="dxa"/>
          </w:tblCellMar>
        </w:tblPrEx>
        <w:trPr>
          <w:trHeight w:val="255" w:hRule="atLeast"/>
        </w:trPr>
        <w:tc>
          <w:tcPr>
            <w:tcW w:w="235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7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5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1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6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87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71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57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158"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公开06表</w:t>
            </w:r>
          </w:p>
        </w:tc>
      </w:tr>
      <w:tr>
        <w:tblPrEx>
          <w:tblCellMar>
            <w:top w:w="0" w:type="dxa"/>
            <w:left w:w="0" w:type="dxa"/>
            <w:bottom w:w="0" w:type="dxa"/>
            <w:right w:w="0" w:type="dxa"/>
          </w:tblCellMar>
        </w:tblPrEx>
        <w:trPr>
          <w:trHeight w:val="255" w:hRule="atLeast"/>
        </w:trPr>
        <w:tc>
          <w:tcPr>
            <w:tcW w:w="5091"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r>
              <w:rPr>
                <w:rFonts w:hint="eastAsia" w:ascii="宋体" w:hAnsi="宋体" w:eastAsia="宋体" w:cs="宋体"/>
                <w:i w:val="0"/>
                <w:color w:val="auto"/>
                <w:kern w:val="0"/>
                <w:sz w:val="20"/>
                <w:szCs w:val="20"/>
                <w:u w:val="none"/>
                <w:lang w:val="en-US" w:eastAsia="zh-CN" w:bidi="ar"/>
              </w:rPr>
              <w:t>部门：淮阳区扶贫开发办公室</w:t>
            </w:r>
          </w:p>
        </w:tc>
        <w:tc>
          <w:tcPr>
            <w:tcW w:w="65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1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6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87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71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4734"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金额单位：万元</w:t>
            </w:r>
          </w:p>
        </w:tc>
      </w:tr>
      <w:tr>
        <w:tblPrEx>
          <w:tblCellMar>
            <w:top w:w="0" w:type="dxa"/>
            <w:left w:w="0" w:type="dxa"/>
            <w:bottom w:w="0" w:type="dxa"/>
            <w:right w:w="0" w:type="dxa"/>
          </w:tblCellMar>
        </w:tblPrEx>
        <w:trPr>
          <w:trHeight w:val="308" w:hRule="atLeast"/>
        </w:trPr>
        <w:tc>
          <w:tcPr>
            <w:tcW w:w="5748" w:type="dxa"/>
            <w:gridSpan w:val="3"/>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人员经费</w:t>
            </w:r>
          </w:p>
        </w:tc>
        <w:tc>
          <w:tcPr>
            <w:tcW w:w="8591" w:type="dxa"/>
            <w:gridSpan w:val="6"/>
            <w:tcBorders>
              <w:top w:val="single" w:color="000000" w:sz="4" w:space="0"/>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公用经费</w:t>
            </w:r>
          </w:p>
        </w:tc>
      </w:tr>
      <w:tr>
        <w:tblPrEx>
          <w:tblCellMar>
            <w:top w:w="0" w:type="dxa"/>
            <w:left w:w="0" w:type="dxa"/>
            <w:bottom w:w="0" w:type="dxa"/>
            <w:right w:w="0" w:type="dxa"/>
          </w:tblCellMar>
        </w:tblPrEx>
        <w:trPr>
          <w:trHeight w:val="308" w:hRule="atLeast"/>
        </w:trPr>
        <w:tc>
          <w:tcPr>
            <w:tcW w:w="2356" w:type="dxa"/>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科目编码</w:t>
            </w:r>
          </w:p>
        </w:tc>
        <w:tc>
          <w:tcPr>
            <w:tcW w:w="2735"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657"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c>
          <w:tcPr>
            <w:tcW w:w="617"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科目编码</w:t>
            </w:r>
          </w:p>
        </w:tc>
        <w:tc>
          <w:tcPr>
            <w:tcW w:w="1650"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874"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c>
          <w:tcPr>
            <w:tcW w:w="716"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科目编码</w:t>
            </w:r>
          </w:p>
        </w:tc>
        <w:tc>
          <w:tcPr>
            <w:tcW w:w="3576"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158" w:type="dxa"/>
            <w:vMerge w:val="restart"/>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r>
      <w:tr>
        <w:tblPrEx>
          <w:tblCellMar>
            <w:top w:w="0" w:type="dxa"/>
            <w:left w:w="0" w:type="dxa"/>
            <w:bottom w:w="0" w:type="dxa"/>
            <w:right w:w="0" w:type="dxa"/>
          </w:tblCellMar>
        </w:tblPrEx>
        <w:trPr>
          <w:trHeight w:val="308" w:hRule="atLeast"/>
        </w:trPr>
        <w:tc>
          <w:tcPr>
            <w:tcW w:w="2356" w:type="dxa"/>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735"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57"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17"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650"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874"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716"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576"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158" w:type="dxa"/>
            <w:vMerge w:val="continue"/>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工资福利支出</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58.19</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商品和服务支出</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506.75</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债务利息及费用支出</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30101</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基本工资</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37.74</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30201</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办公费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150.53</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30701</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国内债务付息</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30102</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津贴补贴</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3.72</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30202</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印刷费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52.24</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30702</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国外债务付息</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30103</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奖金</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1.01</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30203</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咨询费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资本性支出</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30106</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伙食补助费</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30204</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手续费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31001</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房屋建筑物购建</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30107</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绩效工资</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0.98</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30205</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水费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31002</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办公设备购置</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30108</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机关事业单位基本养老保险缴费</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12.43</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30206</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电费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31003</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专用设备购置</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30109</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职业年金缴费</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30207</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邮电费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0.07</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31005</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基础设施建设</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30110</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职工基本医疗保险缴费</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2.11</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30208</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取暖费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31006</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大型修缮</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30111</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公务员医疗补助缴费</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30209</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物业管理费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31007</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信息网络及软件购置更新</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30112</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其他社会保障缴费</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0.08</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30211</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差旅费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31008</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物资储备</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30113</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住房公积金</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30212</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因公出国（境）费用</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31009</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土地补偿</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30114</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医疗费</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30213</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维修（护）费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31010</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安置补助</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30199</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其他工资福利支出</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0.13</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30214</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租赁费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31011</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地上附着物和青苗补偿</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对个人和家庭的补助</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30215</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会议费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31012</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拆迁补偿</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30301</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离休费</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30216</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培训费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31013</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公务用车购置</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30302</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退休费</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30217</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公务接待费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0.04</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31019</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其他交通工具购置</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30303</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退职（役）费</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30218</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专用材料费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31021</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文物和陈列品购置</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30304</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抚恤金</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30224</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被装购置费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31022</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无形资产购置</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30305</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生活补助</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30225</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专用燃料费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31099</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其他资本性支出</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30306</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救济费</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30226</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劳务费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其他支出</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30307</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医疗费补助</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30227</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委托业务费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279.07</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39906</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赠与</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30308</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助学金</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30228</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工会经费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39907</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国家赔偿费用支出</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30309</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奖励金</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30229</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福利费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39908</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对民间非营利组织和群众性自治组织补贴</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30310</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个人农业生产补贴</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30231</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公务用车运行维护费</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3.51</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39999</w:t>
            </w: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其他支出</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30399</w:t>
            </w: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其他对个人和家庭的补助</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30239</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其他交通费用</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8.35</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30240</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税金及附加费用</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356"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273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1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30299</w:t>
            </w:r>
          </w:p>
        </w:tc>
        <w:tc>
          <w:tcPr>
            <w:tcW w:w="165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其他商品和服务支出</w:t>
            </w:r>
          </w:p>
        </w:tc>
        <w:tc>
          <w:tcPr>
            <w:tcW w:w="874"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12.94</w:t>
            </w:r>
          </w:p>
        </w:tc>
        <w:tc>
          <w:tcPr>
            <w:tcW w:w="71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3576"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5091" w:type="dxa"/>
            <w:gridSpan w:val="2"/>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人员经费合计</w:t>
            </w:r>
          </w:p>
        </w:tc>
        <w:tc>
          <w:tcPr>
            <w:tcW w:w="657"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58.19</w:t>
            </w:r>
          </w:p>
        </w:tc>
        <w:tc>
          <w:tcPr>
            <w:tcW w:w="7433" w:type="dxa"/>
            <w:gridSpan w:val="5"/>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公用经费合计</w:t>
            </w:r>
          </w:p>
        </w:tc>
        <w:tc>
          <w:tcPr>
            <w:tcW w:w="11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506.75</w:t>
            </w:r>
          </w:p>
        </w:tc>
      </w:tr>
      <w:tr>
        <w:tblPrEx>
          <w:tblCellMar>
            <w:top w:w="0" w:type="dxa"/>
            <w:left w:w="0" w:type="dxa"/>
            <w:bottom w:w="0" w:type="dxa"/>
            <w:right w:w="0" w:type="dxa"/>
          </w:tblCellMar>
        </w:tblPrEx>
        <w:trPr>
          <w:trHeight w:val="308" w:hRule="atLeast"/>
        </w:trPr>
        <w:tc>
          <w:tcPr>
            <w:tcW w:w="14339"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注：本表反映部门本年度一般公共预算财政拨款基本支出明细情况。本表金额转换为万元时，因四舍五入可能存在尾差。</w:t>
            </w:r>
          </w:p>
        </w:tc>
      </w:tr>
    </w:tbl>
    <w:p>
      <w:pPr>
        <w:rPr>
          <w:rFonts w:hint="eastAsia" w:ascii="仿宋_GB2312" w:hAnsi="仿宋_GB2312" w:eastAsia="仿宋_GB2312" w:cs="仿宋_GB2312"/>
          <w:color w:val="auto"/>
          <w:sz w:val="32"/>
          <w:szCs w:val="32"/>
        </w:rPr>
        <w:sectPr>
          <w:pgSz w:w="16838" w:h="11906" w:orient="landscape"/>
          <w:pgMar w:top="1800" w:right="1440" w:bottom="1800" w:left="144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p>
    <w:tbl>
      <w:tblPr>
        <w:tblStyle w:val="5"/>
        <w:tblW w:w="13807" w:type="dxa"/>
        <w:tblInd w:w="0" w:type="dxa"/>
        <w:shd w:val="clear" w:color="auto" w:fill="auto"/>
        <w:tblLayout w:type="fixed"/>
        <w:tblCellMar>
          <w:top w:w="0" w:type="dxa"/>
          <w:left w:w="0" w:type="dxa"/>
          <w:bottom w:w="0" w:type="dxa"/>
          <w:right w:w="0" w:type="dxa"/>
        </w:tblCellMar>
      </w:tblPr>
      <w:tblGrid>
        <w:gridCol w:w="3039"/>
        <w:gridCol w:w="1293"/>
        <w:gridCol w:w="543"/>
        <w:gridCol w:w="1035"/>
        <w:gridCol w:w="954"/>
        <w:gridCol w:w="842"/>
        <w:gridCol w:w="543"/>
        <w:gridCol w:w="1293"/>
        <w:gridCol w:w="543"/>
        <w:gridCol w:w="1035"/>
        <w:gridCol w:w="1035"/>
        <w:gridCol w:w="1652"/>
      </w:tblGrid>
      <w:tr>
        <w:tblPrEx>
          <w:shd w:val="clear" w:color="auto" w:fill="auto"/>
          <w:tblCellMar>
            <w:top w:w="0" w:type="dxa"/>
            <w:left w:w="0" w:type="dxa"/>
            <w:bottom w:w="0" w:type="dxa"/>
            <w:right w:w="0" w:type="dxa"/>
          </w:tblCellMar>
        </w:tblPrEx>
        <w:trPr>
          <w:trHeight w:val="540" w:hRule="atLeast"/>
        </w:trPr>
        <w:tc>
          <w:tcPr>
            <w:tcW w:w="13807" w:type="dxa"/>
            <w:gridSpan w:val="12"/>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auto"/>
                <w:sz w:val="20"/>
                <w:szCs w:val="20"/>
                <w:u w:val="none"/>
              </w:rPr>
            </w:pPr>
            <w:r>
              <w:rPr>
                <w:rFonts w:hint="eastAsia" w:ascii="宋体" w:hAnsi="宋体" w:eastAsia="宋体" w:cs="宋体"/>
                <w:i w:val="0"/>
                <w:color w:val="auto"/>
                <w:kern w:val="0"/>
                <w:sz w:val="44"/>
                <w:szCs w:val="44"/>
                <w:u w:val="none"/>
                <w:lang w:val="en-US" w:eastAsia="zh-CN" w:bidi="ar"/>
              </w:rPr>
              <w:t>一般公共预算财政拨款“三公”经费支出决算表</w:t>
            </w:r>
          </w:p>
        </w:tc>
      </w:tr>
      <w:tr>
        <w:tblPrEx>
          <w:tblCellMar>
            <w:top w:w="0" w:type="dxa"/>
            <w:left w:w="0" w:type="dxa"/>
            <w:bottom w:w="0" w:type="dxa"/>
            <w:right w:w="0" w:type="dxa"/>
          </w:tblCellMar>
        </w:tblPrEx>
        <w:trPr>
          <w:trHeight w:val="255" w:hRule="atLeast"/>
        </w:trPr>
        <w:tc>
          <w:tcPr>
            <w:tcW w:w="303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29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54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5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84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54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29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54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652"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公开07表</w:t>
            </w:r>
          </w:p>
        </w:tc>
      </w:tr>
      <w:tr>
        <w:tblPrEx>
          <w:tblCellMar>
            <w:top w:w="0" w:type="dxa"/>
            <w:left w:w="0" w:type="dxa"/>
            <w:bottom w:w="0" w:type="dxa"/>
            <w:right w:w="0" w:type="dxa"/>
          </w:tblCellMar>
        </w:tblPrEx>
        <w:trPr>
          <w:trHeight w:val="255" w:hRule="atLeast"/>
        </w:trPr>
        <w:tc>
          <w:tcPr>
            <w:tcW w:w="3039"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部门：淮阳区扶贫开发办公室</w:t>
            </w:r>
          </w:p>
        </w:tc>
        <w:tc>
          <w:tcPr>
            <w:tcW w:w="129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54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95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84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54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29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54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0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652"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7706" w:type="dxa"/>
            <w:gridSpan w:val="6"/>
            <w:tcBorders>
              <w:top w:val="single" w:color="000000" w:sz="4" w:space="0"/>
              <w:left w:val="single" w:color="000000" w:sz="4" w:space="0"/>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预算数</w:t>
            </w:r>
          </w:p>
        </w:tc>
        <w:tc>
          <w:tcPr>
            <w:tcW w:w="6101" w:type="dxa"/>
            <w:gridSpan w:val="6"/>
            <w:tcBorders>
              <w:top w:val="single" w:color="000000" w:sz="4" w:space="0"/>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r>
      <w:tr>
        <w:tblPrEx>
          <w:tblCellMar>
            <w:top w:w="0" w:type="dxa"/>
            <w:left w:w="0" w:type="dxa"/>
            <w:bottom w:w="0" w:type="dxa"/>
            <w:right w:w="0" w:type="dxa"/>
          </w:tblCellMar>
        </w:tblPrEx>
        <w:trPr>
          <w:trHeight w:val="308" w:hRule="atLeast"/>
        </w:trPr>
        <w:tc>
          <w:tcPr>
            <w:tcW w:w="3039" w:type="dxa"/>
            <w:vMerge w:val="restart"/>
            <w:tcBorders>
              <w:top w:val="nil"/>
              <w:left w:val="single" w:color="000000" w:sz="4" w:space="0"/>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293" w:type="dxa"/>
            <w:vMerge w:val="restart"/>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因公出国（境）费</w:t>
            </w:r>
          </w:p>
        </w:tc>
        <w:tc>
          <w:tcPr>
            <w:tcW w:w="2532" w:type="dxa"/>
            <w:gridSpan w:val="3"/>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公务用车购置及运行费</w:t>
            </w:r>
          </w:p>
        </w:tc>
        <w:tc>
          <w:tcPr>
            <w:tcW w:w="842" w:type="dxa"/>
            <w:vMerge w:val="restart"/>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公务接待费</w:t>
            </w:r>
          </w:p>
        </w:tc>
        <w:tc>
          <w:tcPr>
            <w:tcW w:w="543" w:type="dxa"/>
            <w:vMerge w:val="restart"/>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293" w:type="dxa"/>
            <w:vMerge w:val="restart"/>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因公出国（境）费</w:t>
            </w:r>
          </w:p>
        </w:tc>
        <w:tc>
          <w:tcPr>
            <w:tcW w:w="2613" w:type="dxa"/>
            <w:gridSpan w:val="3"/>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公务用车购置及运行费</w:t>
            </w:r>
          </w:p>
        </w:tc>
        <w:tc>
          <w:tcPr>
            <w:tcW w:w="1652" w:type="dxa"/>
            <w:vMerge w:val="restart"/>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公务接待费</w:t>
            </w:r>
          </w:p>
        </w:tc>
      </w:tr>
      <w:tr>
        <w:tblPrEx>
          <w:tblCellMar>
            <w:top w:w="0" w:type="dxa"/>
            <w:left w:w="0" w:type="dxa"/>
            <w:bottom w:w="0" w:type="dxa"/>
            <w:right w:w="0" w:type="dxa"/>
          </w:tblCellMar>
        </w:tblPrEx>
        <w:trPr>
          <w:trHeight w:val="615" w:hRule="atLeast"/>
        </w:trPr>
        <w:tc>
          <w:tcPr>
            <w:tcW w:w="3039" w:type="dxa"/>
            <w:vMerge w:val="continue"/>
            <w:tcBorders>
              <w:top w:val="nil"/>
              <w:left w:val="single" w:color="000000" w:sz="4" w:space="0"/>
              <w:bottom w:val="single" w:color="000000" w:sz="4" w:space="0"/>
              <w:right w:val="single" w:color="000000" w:sz="4" w:space="0"/>
            </w:tcBorders>
            <w:shd w:val="clear" w:color="FFFFFF"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93" w:type="dxa"/>
            <w:vMerge w:val="continue"/>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543"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1035"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公务用车购置费</w:t>
            </w:r>
          </w:p>
        </w:tc>
        <w:tc>
          <w:tcPr>
            <w:tcW w:w="954"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公务用车运行费</w:t>
            </w:r>
          </w:p>
        </w:tc>
        <w:tc>
          <w:tcPr>
            <w:tcW w:w="842" w:type="dxa"/>
            <w:vMerge w:val="continue"/>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543" w:type="dxa"/>
            <w:vMerge w:val="continue"/>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93" w:type="dxa"/>
            <w:vMerge w:val="continue"/>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543"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1035"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公务用车购置费</w:t>
            </w:r>
          </w:p>
        </w:tc>
        <w:tc>
          <w:tcPr>
            <w:tcW w:w="1035"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公务用车运行费</w:t>
            </w:r>
          </w:p>
        </w:tc>
        <w:tc>
          <w:tcPr>
            <w:tcW w:w="1652" w:type="dxa"/>
            <w:vMerge w:val="continue"/>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3039" w:type="dxa"/>
            <w:tcBorders>
              <w:top w:val="nil"/>
              <w:left w:val="single" w:color="000000" w:sz="4" w:space="0"/>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293"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543"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1035"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954"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842"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543"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c>
          <w:tcPr>
            <w:tcW w:w="1293"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w:t>
            </w:r>
          </w:p>
        </w:tc>
        <w:tc>
          <w:tcPr>
            <w:tcW w:w="543"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w:t>
            </w:r>
          </w:p>
        </w:tc>
        <w:tc>
          <w:tcPr>
            <w:tcW w:w="1035"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w:t>
            </w:r>
          </w:p>
        </w:tc>
        <w:tc>
          <w:tcPr>
            <w:tcW w:w="1035"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w:t>
            </w:r>
          </w:p>
        </w:tc>
        <w:tc>
          <w:tcPr>
            <w:tcW w:w="1652" w:type="dxa"/>
            <w:tcBorders>
              <w:top w:val="nil"/>
              <w:left w:val="nil"/>
              <w:bottom w:val="single" w:color="000000" w:sz="4" w:space="0"/>
              <w:right w:val="single" w:color="000000" w:sz="4" w:space="0"/>
            </w:tcBorders>
            <w:shd w:val="clear" w:color="FFFFFF"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w:t>
            </w:r>
          </w:p>
        </w:tc>
      </w:tr>
      <w:tr>
        <w:tblPrEx>
          <w:tblCellMar>
            <w:top w:w="0" w:type="dxa"/>
            <w:left w:w="0" w:type="dxa"/>
            <w:bottom w:w="0" w:type="dxa"/>
            <w:right w:w="0" w:type="dxa"/>
          </w:tblCellMar>
        </w:tblPrEx>
        <w:trPr>
          <w:trHeight w:val="308" w:hRule="atLeast"/>
        </w:trPr>
        <w:tc>
          <w:tcPr>
            <w:tcW w:w="3039"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cs="宋体"/>
                <w:i w:val="0"/>
                <w:color w:val="auto"/>
                <w:kern w:val="0"/>
                <w:sz w:val="22"/>
                <w:szCs w:val="22"/>
                <w:u w:val="none"/>
                <w:lang w:val="en-US" w:eastAsia="zh-CN" w:bidi="ar"/>
              </w:rPr>
              <w:t>10.76</w:t>
            </w:r>
          </w:p>
        </w:tc>
        <w:tc>
          <w:tcPr>
            <w:tcW w:w="1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5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auto"/>
                <w:sz w:val="22"/>
                <w:szCs w:val="22"/>
                <w:u w:val="none"/>
                <w:lang w:val="en-US"/>
              </w:rPr>
            </w:pPr>
            <w:r>
              <w:rPr>
                <w:rFonts w:hint="eastAsia" w:ascii="宋体" w:hAnsi="宋体" w:cs="宋体"/>
                <w:i w:val="0"/>
                <w:color w:val="auto"/>
                <w:kern w:val="0"/>
                <w:sz w:val="22"/>
                <w:szCs w:val="22"/>
                <w:u w:val="none"/>
                <w:lang w:val="en-US" w:eastAsia="zh-CN" w:bidi="ar"/>
              </w:rPr>
              <w:t>9.6</w:t>
            </w:r>
          </w:p>
        </w:tc>
        <w:tc>
          <w:tcPr>
            <w:tcW w:w="8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auto"/>
                <w:sz w:val="22"/>
                <w:szCs w:val="22"/>
                <w:u w:val="none"/>
                <w:lang w:val="en-US"/>
              </w:rPr>
            </w:pPr>
            <w:r>
              <w:rPr>
                <w:rFonts w:hint="eastAsia" w:ascii="宋体" w:hAnsi="宋体" w:cs="宋体"/>
                <w:i w:val="0"/>
                <w:color w:val="auto"/>
                <w:kern w:val="0"/>
                <w:sz w:val="22"/>
                <w:szCs w:val="22"/>
                <w:u w:val="none"/>
                <w:lang w:val="en-US" w:eastAsia="zh-CN" w:bidi="ar"/>
              </w:rPr>
              <w:t>1.16</w:t>
            </w:r>
          </w:p>
        </w:tc>
        <w:tc>
          <w:tcPr>
            <w:tcW w:w="5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3.55</w:t>
            </w:r>
          </w:p>
        </w:tc>
        <w:tc>
          <w:tcPr>
            <w:tcW w:w="1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5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3.51</w:t>
            </w: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0.00</w:t>
            </w: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3.51</w:t>
            </w:r>
          </w:p>
        </w:tc>
        <w:tc>
          <w:tcPr>
            <w:tcW w:w="1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0.04</w:t>
            </w:r>
          </w:p>
        </w:tc>
      </w:tr>
      <w:tr>
        <w:tblPrEx>
          <w:tblCellMar>
            <w:top w:w="0" w:type="dxa"/>
            <w:left w:w="0" w:type="dxa"/>
            <w:bottom w:w="0" w:type="dxa"/>
            <w:right w:w="0" w:type="dxa"/>
          </w:tblCellMar>
        </w:tblPrEx>
        <w:trPr>
          <w:trHeight w:val="615" w:hRule="atLeast"/>
        </w:trPr>
        <w:tc>
          <w:tcPr>
            <w:tcW w:w="13807" w:type="dxa"/>
            <w:gridSpan w:val="1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三公”经费支出预决算情况。其中：预算数为“三公”经费全年预算数，反映按规定程序调整后的预算数；决算数是包括当年一般公共预算财政拨款和以前年度结转资金安排的实际支出。本表金额转换为万元时，因四舍五入可能存在尾差。</w:t>
            </w:r>
          </w:p>
        </w:tc>
      </w:tr>
    </w:tbl>
    <w:p>
      <w:pPr>
        <w:rPr>
          <w:rFonts w:hint="eastAsia" w:ascii="仿宋_GB2312" w:hAnsi="仿宋_GB2312" w:eastAsia="仿宋_GB2312" w:cs="仿宋_GB2312"/>
          <w:color w:val="auto"/>
          <w:sz w:val="32"/>
          <w:szCs w:val="32"/>
        </w:rPr>
        <w:sectPr>
          <w:pgSz w:w="16838" w:h="11906" w:orient="landscape"/>
          <w:pgMar w:top="2098" w:right="1474" w:bottom="1984" w:left="1587"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p>
    <w:tbl>
      <w:tblPr>
        <w:tblStyle w:val="5"/>
        <w:tblW w:w="13850" w:type="dxa"/>
        <w:tblInd w:w="0" w:type="dxa"/>
        <w:shd w:val="clear" w:color="auto" w:fill="auto"/>
        <w:tblLayout w:type="fixed"/>
        <w:tblCellMar>
          <w:top w:w="0" w:type="dxa"/>
          <w:left w:w="0" w:type="dxa"/>
          <w:bottom w:w="0" w:type="dxa"/>
          <w:right w:w="0" w:type="dxa"/>
        </w:tblCellMar>
      </w:tblPr>
      <w:tblGrid>
        <w:gridCol w:w="2630"/>
        <w:gridCol w:w="36"/>
        <w:gridCol w:w="36"/>
        <w:gridCol w:w="1233"/>
        <w:gridCol w:w="1755"/>
        <w:gridCol w:w="632"/>
        <w:gridCol w:w="688"/>
        <w:gridCol w:w="2010"/>
        <w:gridCol w:w="2040"/>
        <w:gridCol w:w="2790"/>
      </w:tblGrid>
      <w:tr>
        <w:tblPrEx>
          <w:shd w:val="clear" w:color="auto" w:fill="auto"/>
          <w:tblCellMar>
            <w:top w:w="0" w:type="dxa"/>
            <w:left w:w="0" w:type="dxa"/>
            <w:bottom w:w="0" w:type="dxa"/>
            <w:right w:w="0" w:type="dxa"/>
          </w:tblCellMar>
        </w:tblPrEx>
        <w:trPr>
          <w:trHeight w:val="390" w:hRule="atLeast"/>
        </w:trPr>
        <w:tc>
          <w:tcPr>
            <w:tcW w:w="13850" w:type="dxa"/>
            <w:gridSpan w:val="10"/>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auto"/>
                <w:sz w:val="20"/>
                <w:szCs w:val="20"/>
                <w:u w:val="none"/>
              </w:rPr>
            </w:pPr>
            <w:r>
              <w:rPr>
                <w:rFonts w:hint="eastAsia" w:ascii="宋体" w:hAnsi="宋体" w:eastAsia="宋体" w:cs="宋体"/>
                <w:i w:val="0"/>
                <w:color w:val="auto"/>
                <w:kern w:val="0"/>
                <w:sz w:val="30"/>
                <w:szCs w:val="30"/>
                <w:u w:val="none"/>
                <w:lang w:val="en-US" w:eastAsia="zh-CN" w:bidi="ar"/>
              </w:rPr>
              <w:t>政府性基金预算财政拨款收入支出决算表</w:t>
            </w:r>
          </w:p>
        </w:tc>
      </w:tr>
      <w:tr>
        <w:tblPrEx>
          <w:tblCellMar>
            <w:top w:w="0" w:type="dxa"/>
            <w:left w:w="0" w:type="dxa"/>
            <w:bottom w:w="0" w:type="dxa"/>
            <w:right w:w="0" w:type="dxa"/>
          </w:tblCellMar>
        </w:tblPrEx>
        <w:trPr>
          <w:trHeight w:val="255" w:hRule="atLeast"/>
        </w:trPr>
        <w:tc>
          <w:tcPr>
            <w:tcW w:w="26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23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175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3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68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01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0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auto"/>
                <w:sz w:val="20"/>
                <w:szCs w:val="20"/>
                <w:u w:val="none"/>
              </w:rPr>
            </w:pPr>
          </w:p>
        </w:tc>
        <w:tc>
          <w:tcPr>
            <w:tcW w:w="279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公开08表</w:t>
            </w:r>
          </w:p>
        </w:tc>
      </w:tr>
      <w:tr>
        <w:tblPrEx>
          <w:tblCellMar>
            <w:top w:w="0" w:type="dxa"/>
            <w:left w:w="0" w:type="dxa"/>
            <w:bottom w:w="0" w:type="dxa"/>
            <w:right w:w="0" w:type="dxa"/>
          </w:tblCellMar>
        </w:tblPrEx>
        <w:trPr>
          <w:trHeight w:val="255" w:hRule="atLeast"/>
        </w:trPr>
        <w:tc>
          <w:tcPr>
            <w:tcW w:w="2630" w:type="dxa"/>
            <w:tcBorders>
              <w:top w:val="nil"/>
              <w:left w:val="nil"/>
              <w:bottom w:val="nil"/>
              <w:right w:val="nil"/>
            </w:tcBorders>
            <w:shd w:val="clear" w:color="auto" w:fill="FFFFFF" w:themeFill="background1"/>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部门：淮阳区扶贫开发办公室</w:t>
            </w:r>
          </w:p>
        </w:tc>
        <w:tc>
          <w:tcPr>
            <w:tcW w:w="36" w:type="dxa"/>
            <w:tcBorders>
              <w:top w:val="nil"/>
              <w:left w:val="nil"/>
              <w:bottom w:val="nil"/>
              <w:right w:val="nil"/>
            </w:tcBorders>
            <w:shd w:val="clear" w:color="auto" w:fill="FFFFFF" w:themeFill="background1"/>
            <w:noWrap/>
            <w:tcMar>
              <w:top w:w="15" w:type="dxa"/>
              <w:left w:w="15" w:type="dxa"/>
              <w:right w:w="15" w:type="dxa"/>
            </w:tcMar>
            <w:vAlign w:val="bottom"/>
          </w:tcPr>
          <w:p>
            <w:pPr>
              <w:rPr>
                <w:rFonts w:hint="default" w:ascii="Arial" w:hAnsi="Arial" w:cs="Arial"/>
                <w:i w:val="0"/>
                <w:color w:val="auto"/>
                <w:sz w:val="20"/>
                <w:szCs w:val="20"/>
                <w:u w:val="none"/>
              </w:rPr>
            </w:pPr>
          </w:p>
        </w:tc>
        <w:tc>
          <w:tcPr>
            <w:tcW w:w="36" w:type="dxa"/>
            <w:tcBorders>
              <w:top w:val="nil"/>
              <w:left w:val="nil"/>
              <w:bottom w:val="nil"/>
              <w:right w:val="nil"/>
            </w:tcBorders>
            <w:shd w:val="clear" w:color="auto" w:fill="FFFFFF" w:themeFill="background1"/>
            <w:noWrap/>
            <w:tcMar>
              <w:top w:w="15" w:type="dxa"/>
              <w:left w:w="15" w:type="dxa"/>
              <w:right w:w="15" w:type="dxa"/>
            </w:tcMar>
            <w:vAlign w:val="bottom"/>
          </w:tcPr>
          <w:p>
            <w:pPr>
              <w:rPr>
                <w:rFonts w:hint="default" w:ascii="Arial" w:hAnsi="Arial" w:cs="Arial"/>
                <w:i w:val="0"/>
                <w:color w:val="auto"/>
                <w:sz w:val="20"/>
                <w:szCs w:val="20"/>
                <w:u w:val="none"/>
              </w:rPr>
            </w:pPr>
          </w:p>
        </w:tc>
        <w:tc>
          <w:tcPr>
            <w:tcW w:w="1233" w:type="dxa"/>
            <w:tcBorders>
              <w:top w:val="nil"/>
              <w:left w:val="nil"/>
              <w:bottom w:val="nil"/>
              <w:right w:val="nil"/>
            </w:tcBorders>
            <w:shd w:val="clear" w:color="auto" w:fill="FFFFFF" w:themeFill="background1"/>
            <w:noWrap/>
            <w:tcMar>
              <w:top w:w="15" w:type="dxa"/>
              <w:left w:w="15" w:type="dxa"/>
              <w:right w:w="15" w:type="dxa"/>
            </w:tcMar>
            <w:vAlign w:val="bottom"/>
          </w:tcPr>
          <w:p>
            <w:pPr>
              <w:rPr>
                <w:rFonts w:hint="default" w:ascii="Arial" w:hAnsi="Arial" w:cs="Arial"/>
                <w:i w:val="0"/>
                <w:color w:val="auto"/>
                <w:sz w:val="20"/>
                <w:szCs w:val="20"/>
                <w:u w:val="none"/>
              </w:rPr>
            </w:pPr>
          </w:p>
        </w:tc>
        <w:tc>
          <w:tcPr>
            <w:tcW w:w="1755" w:type="dxa"/>
            <w:tcBorders>
              <w:top w:val="nil"/>
              <w:left w:val="nil"/>
              <w:bottom w:val="nil"/>
              <w:right w:val="nil"/>
            </w:tcBorders>
            <w:shd w:val="clear" w:color="auto" w:fill="FFFFFF" w:themeFill="background1"/>
            <w:noWrap/>
            <w:tcMar>
              <w:top w:w="15" w:type="dxa"/>
              <w:left w:w="15" w:type="dxa"/>
              <w:right w:w="15" w:type="dxa"/>
            </w:tcMar>
            <w:vAlign w:val="bottom"/>
          </w:tcPr>
          <w:p>
            <w:pPr>
              <w:rPr>
                <w:rFonts w:hint="default" w:ascii="Arial" w:hAnsi="Arial" w:cs="Arial"/>
                <w:i w:val="0"/>
                <w:color w:val="auto"/>
                <w:sz w:val="20"/>
                <w:szCs w:val="20"/>
                <w:u w:val="none"/>
              </w:rPr>
            </w:pPr>
          </w:p>
        </w:tc>
        <w:tc>
          <w:tcPr>
            <w:tcW w:w="632" w:type="dxa"/>
            <w:tcBorders>
              <w:top w:val="nil"/>
              <w:left w:val="nil"/>
              <w:bottom w:val="nil"/>
              <w:right w:val="nil"/>
            </w:tcBorders>
            <w:shd w:val="clear" w:color="auto" w:fill="FFFFFF" w:themeFill="background1"/>
            <w:noWrap/>
            <w:tcMar>
              <w:top w:w="15" w:type="dxa"/>
              <w:left w:w="15" w:type="dxa"/>
              <w:right w:w="15" w:type="dxa"/>
            </w:tcMar>
            <w:vAlign w:val="bottom"/>
          </w:tcPr>
          <w:p>
            <w:pPr>
              <w:rPr>
                <w:rFonts w:hint="default" w:ascii="Arial" w:hAnsi="Arial" w:cs="Arial"/>
                <w:i w:val="0"/>
                <w:color w:val="auto"/>
                <w:sz w:val="20"/>
                <w:szCs w:val="20"/>
                <w:u w:val="none"/>
              </w:rPr>
            </w:pPr>
          </w:p>
        </w:tc>
        <w:tc>
          <w:tcPr>
            <w:tcW w:w="688" w:type="dxa"/>
            <w:tcBorders>
              <w:top w:val="nil"/>
              <w:left w:val="nil"/>
              <w:bottom w:val="nil"/>
              <w:right w:val="nil"/>
            </w:tcBorders>
            <w:shd w:val="clear" w:color="auto" w:fill="FFFFFF" w:themeFill="background1"/>
            <w:noWrap/>
            <w:tcMar>
              <w:top w:w="15" w:type="dxa"/>
              <w:left w:w="15" w:type="dxa"/>
              <w:right w:w="15" w:type="dxa"/>
            </w:tcMar>
            <w:vAlign w:val="bottom"/>
          </w:tcPr>
          <w:p>
            <w:pPr>
              <w:rPr>
                <w:rFonts w:hint="default" w:ascii="Arial" w:hAnsi="Arial" w:cs="Arial"/>
                <w:i w:val="0"/>
                <w:color w:val="auto"/>
                <w:sz w:val="20"/>
                <w:szCs w:val="20"/>
                <w:u w:val="none"/>
              </w:rPr>
            </w:pPr>
          </w:p>
        </w:tc>
        <w:tc>
          <w:tcPr>
            <w:tcW w:w="2010" w:type="dxa"/>
            <w:tcBorders>
              <w:top w:val="nil"/>
              <w:left w:val="nil"/>
              <w:bottom w:val="nil"/>
              <w:right w:val="nil"/>
            </w:tcBorders>
            <w:shd w:val="clear" w:color="auto" w:fill="FFFFFF" w:themeFill="background1"/>
            <w:noWrap/>
            <w:tcMar>
              <w:top w:w="15" w:type="dxa"/>
              <w:left w:w="15" w:type="dxa"/>
              <w:right w:w="15" w:type="dxa"/>
            </w:tcMar>
            <w:vAlign w:val="bottom"/>
          </w:tcPr>
          <w:p>
            <w:pPr>
              <w:rPr>
                <w:rFonts w:hint="default" w:ascii="Arial" w:hAnsi="Arial" w:cs="Arial"/>
                <w:i w:val="0"/>
                <w:color w:val="auto"/>
                <w:sz w:val="20"/>
                <w:szCs w:val="20"/>
                <w:u w:val="none"/>
              </w:rPr>
            </w:pPr>
          </w:p>
        </w:tc>
        <w:tc>
          <w:tcPr>
            <w:tcW w:w="2040" w:type="dxa"/>
            <w:tcBorders>
              <w:top w:val="nil"/>
              <w:left w:val="nil"/>
              <w:bottom w:val="nil"/>
              <w:right w:val="nil"/>
            </w:tcBorders>
            <w:shd w:val="clear" w:color="auto" w:fill="FFFFFF" w:themeFill="background1"/>
            <w:noWrap/>
            <w:tcMar>
              <w:top w:w="15" w:type="dxa"/>
              <w:left w:w="15" w:type="dxa"/>
              <w:right w:w="15" w:type="dxa"/>
            </w:tcMar>
            <w:vAlign w:val="bottom"/>
          </w:tcPr>
          <w:p>
            <w:pPr>
              <w:rPr>
                <w:rFonts w:hint="default" w:ascii="Arial" w:hAnsi="Arial" w:cs="Arial"/>
                <w:i w:val="0"/>
                <w:color w:val="auto"/>
                <w:sz w:val="20"/>
                <w:szCs w:val="20"/>
                <w:u w:val="none"/>
              </w:rPr>
            </w:pPr>
          </w:p>
        </w:tc>
        <w:tc>
          <w:tcPr>
            <w:tcW w:w="2790" w:type="dxa"/>
            <w:tcBorders>
              <w:top w:val="nil"/>
              <w:left w:val="nil"/>
              <w:bottom w:val="nil"/>
              <w:right w:val="nil"/>
            </w:tcBorders>
            <w:shd w:val="clear" w:color="auto" w:fill="FFFFFF" w:themeFill="background1"/>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3935"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75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年初结转和结余</w:t>
            </w:r>
          </w:p>
        </w:tc>
        <w:tc>
          <w:tcPr>
            <w:tcW w:w="632"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本年收入</w:t>
            </w:r>
          </w:p>
        </w:tc>
        <w:tc>
          <w:tcPr>
            <w:tcW w:w="4738" w:type="dxa"/>
            <w:gridSpan w:val="3"/>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w:t>
            </w:r>
          </w:p>
        </w:tc>
        <w:tc>
          <w:tcPr>
            <w:tcW w:w="2790"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年末结转和结余</w:t>
            </w:r>
          </w:p>
        </w:tc>
      </w:tr>
      <w:tr>
        <w:tblPrEx>
          <w:tblCellMar>
            <w:top w:w="0" w:type="dxa"/>
            <w:left w:w="0" w:type="dxa"/>
            <w:bottom w:w="0" w:type="dxa"/>
            <w:right w:w="0" w:type="dxa"/>
          </w:tblCellMar>
        </w:tblPrEx>
        <w:trPr>
          <w:trHeight w:val="308" w:hRule="atLeast"/>
        </w:trPr>
        <w:tc>
          <w:tcPr>
            <w:tcW w:w="2702" w:type="dxa"/>
            <w:gridSpan w:val="3"/>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1233" w:type="dxa"/>
            <w:vMerge w:val="restar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75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2"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88"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2010"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2040"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c>
          <w:tcPr>
            <w:tcW w:w="279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702"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33" w:type="dxa"/>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5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2"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88"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010"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040"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79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702"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233" w:type="dxa"/>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75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32"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688"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010"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040"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279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3935" w:type="dxa"/>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175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63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68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201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20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279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r>
      <w:tr>
        <w:tblPrEx>
          <w:tblCellMar>
            <w:top w:w="0" w:type="dxa"/>
            <w:left w:w="0" w:type="dxa"/>
            <w:bottom w:w="0" w:type="dxa"/>
            <w:right w:w="0" w:type="dxa"/>
          </w:tblCellMar>
        </w:tblPrEx>
        <w:trPr>
          <w:trHeight w:val="308" w:hRule="atLeast"/>
        </w:trPr>
        <w:tc>
          <w:tcPr>
            <w:tcW w:w="3935" w:type="dxa"/>
            <w:gridSpan w:val="4"/>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75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632"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688"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201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204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c>
          <w:tcPr>
            <w:tcW w:w="279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right"/>
              <w:rPr>
                <w:rFonts w:hint="eastAsia" w:ascii="宋体" w:hAnsi="宋体" w:eastAsia="宋体" w:cs="宋体"/>
                <w:b/>
                <w:i w:val="0"/>
                <w:color w:val="auto"/>
                <w:sz w:val="22"/>
                <w:szCs w:val="22"/>
                <w:u w:val="none"/>
              </w:rPr>
            </w:pP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2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17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6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0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c>
          <w:tcPr>
            <w:tcW w:w="2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auto"/>
                <w:sz w:val="22"/>
                <w:szCs w:val="22"/>
                <w:u w:val="none"/>
              </w:rPr>
            </w:pPr>
          </w:p>
        </w:tc>
      </w:tr>
      <w:tr>
        <w:tblPrEx>
          <w:tblCellMar>
            <w:top w:w="0" w:type="dxa"/>
            <w:left w:w="0" w:type="dxa"/>
            <w:bottom w:w="0" w:type="dxa"/>
            <w:right w:w="0" w:type="dxa"/>
          </w:tblCellMar>
        </w:tblPrEx>
        <w:trPr>
          <w:trHeight w:val="308" w:hRule="atLeast"/>
        </w:trPr>
        <w:tc>
          <w:tcPr>
            <w:tcW w:w="1385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注：本表反映部门本年度政府性基金预算财政拨款收入、支出及结转和结余情况。</w:t>
            </w:r>
          </w:p>
        </w:tc>
      </w:tr>
    </w:tbl>
    <w:p>
      <w:pPr>
        <w:widowControl/>
        <w:spacing w:line="590" w:lineRule="exact"/>
        <w:jc w:val="left"/>
        <w:rPr>
          <w:rFonts w:hint="eastAsia" w:ascii="仿宋_GB2312" w:hAnsi="仿宋_GB2312" w:eastAsia="仿宋_GB2312" w:cs="仿宋_GB2312"/>
          <w:color w:val="auto"/>
          <w:sz w:val="32"/>
          <w:szCs w:val="32"/>
        </w:rPr>
        <w:sectPr>
          <w:pgSz w:w="16838" w:h="11906" w:orient="landscape"/>
          <w:pgMar w:top="1800" w:right="1440" w:bottom="1800" w:left="144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r>
        <w:rPr>
          <w:rFonts w:hint="eastAsia" w:ascii="仿宋_GB2312" w:hAnsi="仿宋_GB2312" w:eastAsia="仿宋_GB2312" w:cs="仿宋_GB2312"/>
          <w:color w:val="auto"/>
          <w:sz w:val="32"/>
          <w:szCs w:val="32"/>
        </w:rPr>
        <w:t>说明：我部门没有政府性基金收入，也没有使用政府性基金安排的支出，故本表无数据。</w:t>
      </w:r>
    </w:p>
    <w:p>
      <w:pPr>
        <w:widowControl/>
        <w:spacing w:line="590" w:lineRule="exact"/>
        <w:jc w:val="left"/>
        <w:rPr>
          <w:rFonts w:hint="eastAsia" w:ascii="仿宋_GB2312" w:hAnsi="仿宋_GB2312" w:eastAsia="仿宋_GB2312" w:cs="仿宋_GB2312"/>
          <w:color w:val="auto"/>
          <w:sz w:val="32"/>
          <w:szCs w:val="32"/>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jc w:val="center"/>
        <w:outlineLvl w:val="0"/>
        <w:rPr>
          <w:rFonts w:hint="eastAsia" w:ascii="黑体" w:hAnsi="黑体" w:eastAsia="黑体" w:cs="黑体"/>
          <w:color w:val="auto"/>
          <w:sz w:val="48"/>
          <w:szCs w:val="48"/>
        </w:rPr>
      </w:pPr>
      <w:r>
        <w:rPr>
          <w:rFonts w:hint="eastAsia" w:ascii="黑体" w:hAnsi="黑体" w:eastAsia="黑体" w:cs="黑体"/>
          <w:color w:val="auto"/>
          <w:sz w:val="48"/>
          <w:szCs w:val="48"/>
        </w:rPr>
        <w:t>第三部分  201</w:t>
      </w:r>
      <w:r>
        <w:rPr>
          <w:rFonts w:hint="eastAsia" w:ascii="黑体" w:hAnsi="黑体" w:eastAsia="黑体" w:cs="黑体"/>
          <w:color w:val="auto"/>
          <w:sz w:val="48"/>
          <w:szCs w:val="48"/>
          <w:lang w:val="en-US" w:eastAsia="zh-CN"/>
        </w:rPr>
        <w:t>9</w:t>
      </w:r>
      <w:r>
        <w:rPr>
          <w:rFonts w:hint="eastAsia" w:ascii="黑体" w:hAnsi="黑体" w:eastAsia="黑体" w:cs="黑体"/>
          <w:color w:val="auto"/>
          <w:sz w:val="48"/>
          <w:szCs w:val="48"/>
        </w:rPr>
        <w:t>年度部门决算情况说明</w:t>
      </w:r>
    </w:p>
    <w:p>
      <w:pPr>
        <w:widowControl/>
        <w:jc w:val="left"/>
        <w:rPr>
          <w:rFonts w:hint="eastAsia" w:ascii="黑体" w:hAnsi="黑体" w:eastAsia="黑体" w:cs="黑体"/>
          <w:color w:val="auto"/>
          <w:sz w:val="48"/>
          <w:szCs w:val="48"/>
        </w:rPr>
        <w:sectPr>
          <w:pgSz w:w="11906" w:h="16838"/>
          <w:pgMar w:top="1440" w:right="1800" w:bottom="1440" w:left="180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一、收入支出决算总体情况说明</w:t>
      </w:r>
    </w:p>
    <w:p>
      <w:pPr>
        <w:widowControl/>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年度收、支总计均为</w:t>
      </w:r>
      <w:r>
        <w:rPr>
          <w:rFonts w:hint="eastAsia" w:ascii="仿宋_GB2312" w:hAnsi="仿宋_GB2312" w:eastAsia="仿宋_GB2312" w:cs="仿宋_GB2312"/>
          <w:color w:val="auto"/>
          <w:sz w:val="32"/>
          <w:szCs w:val="32"/>
          <w:lang w:val="en-US" w:eastAsia="zh-CN"/>
        </w:rPr>
        <w:t>42972.68</w:t>
      </w:r>
      <w:r>
        <w:rPr>
          <w:rFonts w:hint="eastAsia" w:ascii="仿宋_GB2312" w:hAnsi="仿宋_GB2312" w:eastAsia="仿宋_GB2312" w:cs="仿宋_GB2312"/>
          <w:color w:val="auto"/>
          <w:sz w:val="32"/>
          <w:szCs w:val="32"/>
        </w:rPr>
        <w:t>万元。与上年度相比，收、支总计各</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lang w:val="en-US" w:eastAsia="zh-CN"/>
        </w:rPr>
        <w:t>15975.84</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lang w:val="en-US" w:eastAsia="zh-CN"/>
        </w:rPr>
        <w:t>37.18</w:t>
      </w:r>
      <w:r>
        <w:rPr>
          <w:rFonts w:hint="eastAsia" w:ascii="仿宋_GB2312" w:hAnsi="仿宋_GB2312" w:eastAsia="仿宋_GB2312" w:cs="仿宋_GB2312"/>
          <w:color w:val="auto"/>
          <w:sz w:val="32"/>
          <w:szCs w:val="32"/>
        </w:rPr>
        <w:t>%。主要原因是用于脱贫攻坚各级整合</w:t>
      </w:r>
      <w:r>
        <w:rPr>
          <w:rFonts w:hint="eastAsia" w:ascii="仿宋_GB2312" w:hAnsi="仿宋_GB2312" w:eastAsia="仿宋_GB2312" w:cs="仿宋_GB2312"/>
          <w:color w:val="auto"/>
          <w:sz w:val="32"/>
          <w:szCs w:val="32"/>
          <w:lang w:eastAsia="zh-CN"/>
        </w:rPr>
        <w:t>的</w:t>
      </w:r>
      <w:r>
        <w:rPr>
          <w:rFonts w:hint="eastAsia" w:ascii="仿宋_GB2312" w:hAnsi="仿宋_GB2312" w:eastAsia="仿宋_GB2312" w:cs="仿宋_GB2312"/>
          <w:color w:val="auto"/>
          <w:sz w:val="32"/>
          <w:szCs w:val="32"/>
        </w:rPr>
        <w:t>扶贫项目资金</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rPr>
        <w:t>。</w:t>
      </w: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二、收入决算情况说明</w:t>
      </w:r>
    </w:p>
    <w:p>
      <w:pPr>
        <w:widowControl/>
        <w:spacing w:line="590" w:lineRule="exact"/>
        <w:ind w:firstLine="640" w:firstLineChars="200"/>
        <w:rPr>
          <w:rFonts w:hint="eastAsia" w:ascii="黑体" w:hAnsi="黑体" w:eastAsia="黑体" w:cs="黑体"/>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年度收入合计</w:t>
      </w:r>
      <w:r>
        <w:rPr>
          <w:rFonts w:hint="eastAsia" w:ascii="仿宋_GB2312" w:hAnsi="仿宋_GB2312" w:eastAsia="仿宋_GB2312" w:cs="仿宋_GB2312"/>
          <w:color w:val="auto"/>
          <w:sz w:val="32"/>
          <w:szCs w:val="32"/>
          <w:lang w:val="en-US" w:eastAsia="zh-CN"/>
        </w:rPr>
        <w:t>42972.68</w:t>
      </w:r>
      <w:r>
        <w:rPr>
          <w:rFonts w:hint="eastAsia" w:ascii="仿宋_GB2312" w:hAnsi="仿宋_GB2312" w:eastAsia="仿宋_GB2312" w:cs="仿宋_GB2312"/>
          <w:color w:val="auto"/>
          <w:sz w:val="32"/>
          <w:szCs w:val="32"/>
        </w:rPr>
        <w:t>万元，其中：财政拨款收入</w:t>
      </w:r>
      <w:r>
        <w:rPr>
          <w:rFonts w:hint="eastAsia" w:ascii="仿宋_GB2312" w:hAnsi="仿宋_GB2312" w:eastAsia="仿宋_GB2312" w:cs="仿宋_GB2312"/>
          <w:color w:val="auto"/>
          <w:sz w:val="32"/>
          <w:szCs w:val="32"/>
          <w:lang w:val="en-US" w:eastAsia="zh-CN"/>
        </w:rPr>
        <w:t>42972.68</w:t>
      </w:r>
      <w:r>
        <w:rPr>
          <w:rFonts w:hint="eastAsia" w:ascii="仿宋_GB2312" w:hAnsi="仿宋_GB2312" w:eastAsia="仿宋_GB2312" w:cs="仿宋_GB2312"/>
          <w:color w:val="auto"/>
          <w:sz w:val="32"/>
          <w:szCs w:val="32"/>
        </w:rPr>
        <w:t>万元，占100%。</w:t>
      </w: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三、支出决算情况说明</w:t>
      </w:r>
    </w:p>
    <w:p>
      <w:pPr>
        <w:widowControl/>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年度支出合计</w:t>
      </w:r>
      <w:r>
        <w:rPr>
          <w:rFonts w:hint="eastAsia" w:ascii="仿宋_GB2312" w:hAnsi="仿宋_GB2312" w:eastAsia="仿宋_GB2312" w:cs="仿宋_GB2312"/>
          <w:color w:val="auto"/>
          <w:sz w:val="32"/>
          <w:szCs w:val="32"/>
          <w:lang w:val="en-US" w:eastAsia="zh-CN"/>
        </w:rPr>
        <w:t>42972.68</w:t>
      </w:r>
      <w:r>
        <w:rPr>
          <w:rFonts w:hint="eastAsia" w:ascii="仿宋_GB2312" w:hAnsi="仿宋_GB2312" w:eastAsia="仿宋_GB2312" w:cs="仿宋_GB2312"/>
          <w:color w:val="auto"/>
          <w:sz w:val="32"/>
          <w:szCs w:val="32"/>
        </w:rPr>
        <w:t>万元，其中：基本支出</w:t>
      </w:r>
      <w:r>
        <w:rPr>
          <w:rFonts w:hint="eastAsia" w:ascii="仿宋_GB2312" w:hAnsi="仿宋_GB2312" w:eastAsia="仿宋_GB2312" w:cs="仿宋_GB2312"/>
          <w:color w:val="auto"/>
          <w:sz w:val="32"/>
          <w:szCs w:val="32"/>
          <w:lang w:val="en-US" w:eastAsia="zh-CN"/>
        </w:rPr>
        <w:t>564.94</w:t>
      </w:r>
      <w:r>
        <w:rPr>
          <w:rFonts w:hint="eastAsia" w:ascii="仿宋_GB2312" w:hAnsi="仿宋_GB2312" w:eastAsia="仿宋_GB2312" w:cs="仿宋_GB2312"/>
          <w:color w:val="auto"/>
          <w:sz w:val="32"/>
          <w:szCs w:val="32"/>
        </w:rPr>
        <w:t>万元，占</w:t>
      </w:r>
      <w:r>
        <w:rPr>
          <w:rFonts w:hint="eastAsia" w:ascii="仿宋_GB2312" w:hAnsi="仿宋_GB2312" w:eastAsia="仿宋_GB2312" w:cs="仿宋_GB2312"/>
          <w:color w:val="auto"/>
          <w:sz w:val="32"/>
          <w:szCs w:val="32"/>
          <w:lang w:val="en-US" w:eastAsia="zh-CN"/>
        </w:rPr>
        <w:t>1.32</w:t>
      </w:r>
      <w:r>
        <w:rPr>
          <w:rFonts w:hint="eastAsia" w:ascii="仿宋_GB2312" w:hAnsi="仿宋_GB2312" w:eastAsia="仿宋_GB2312" w:cs="仿宋_GB2312"/>
          <w:color w:val="auto"/>
          <w:sz w:val="32"/>
          <w:szCs w:val="32"/>
        </w:rPr>
        <w:t>%；项目支出</w:t>
      </w:r>
      <w:r>
        <w:rPr>
          <w:rFonts w:hint="eastAsia" w:ascii="仿宋_GB2312" w:hAnsi="仿宋_GB2312" w:eastAsia="仿宋_GB2312" w:cs="仿宋_GB2312"/>
          <w:color w:val="auto"/>
          <w:sz w:val="32"/>
          <w:szCs w:val="32"/>
          <w:lang w:val="en-US" w:eastAsia="zh-CN"/>
        </w:rPr>
        <w:t>42407.74</w:t>
      </w:r>
      <w:r>
        <w:rPr>
          <w:rFonts w:hint="eastAsia" w:ascii="仿宋_GB2312" w:hAnsi="仿宋_GB2312" w:eastAsia="仿宋_GB2312" w:cs="仿宋_GB2312"/>
          <w:color w:val="auto"/>
          <w:sz w:val="32"/>
          <w:szCs w:val="32"/>
        </w:rPr>
        <w:t>万元，占</w:t>
      </w:r>
      <w:r>
        <w:rPr>
          <w:rFonts w:hint="eastAsia" w:ascii="仿宋_GB2312" w:hAnsi="仿宋_GB2312" w:eastAsia="仿宋_GB2312" w:cs="仿宋_GB2312"/>
          <w:color w:val="auto"/>
          <w:sz w:val="32"/>
          <w:szCs w:val="32"/>
          <w:lang w:val="en-US" w:eastAsia="zh-CN"/>
        </w:rPr>
        <w:t>98.68</w:t>
      </w:r>
      <w:r>
        <w:rPr>
          <w:rFonts w:hint="eastAsia" w:ascii="仿宋_GB2312" w:hAnsi="仿宋_GB2312" w:eastAsia="仿宋_GB2312" w:cs="仿宋_GB2312"/>
          <w:color w:val="auto"/>
          <w:sz w:val="32"/>
          <w:szCs w:val="32"/>
        </w:rPr>
        <w:t>%。</w:t>
      </w: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四、财政拨款收入支出决算总体情况说明</w:t>
      </w:r>
    </w:p>
    <w:p>
      <w:pPr>
        <w:widowControl/>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年度财政拨款收、支总计均为</w:t>
      </w:r>
      <w:r>
        <w:rPr>
          <w:rFonts w:hint="eastAsia" w:ascii="仿宋_GB2312" w:hAnsi="仿宋_GB2312" w:eastAsia="仿宋_GB2312" w:cs="仿宋_GB2312"/>
          <w:color w:val="auto"/>
          <w:sz w:val="32"/>
          <w:szCs w:val="32"/>
          <w:lang w:val="en-US" w:eastAsia="zh-CN"/>
        </w:rPr>
        <w:t>42972.68</w:t>
      </w:r>
      <w:r>
        <w:rPr>
          <w:rFonts w:hint="eastAsia" w:ascii="仿宋_GB2312" w:hAnsi="仿宋_GB2312" w:eastAsia="仿宋_GB2312" w:cs="仿宋_GB2312"/>
          <w:color w:val="auto"/>
          <w:sz w:val="32"/>
          <w:szCs w:val="32"/>
        </w:rPr>
        <w:t>万元。与上年度相比，财政拨款收、支总计各</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lang w:val="en-US" w:eastAsia="zh-CN"/>
        </w:rPr>
        <w:t>15975.84</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lang w:val="en-US" w:eastAsia="zh-CN"/>
        </w:rPr>
        <w:t>37.18</w:t>
      </w:r>
      <w:r>
        <w:rPr>
          <w:rFonts w:hint="eastAsia" w:ascii="仿宋_GB2312" w:hAnsi="仿宋_GB2312" w:eastAsia="仿宋_GB2312" w:cs="仿宋_GB2312"/>
          <w:color w:val="auto"/>
          <w:sz w:val="32"/>
          <w:szCs w:val="32"/>
        </w:rPr>
        <w:t>%。主要原因是用于脱贫攻坚各级整合</w:t>
      </w:r>
      <w:r>
        <w:rPr>
          <w:rFonts w:hint="eastAsia" w:ascii="仿宋_GB2312" w:hAnsi="仿宋_GB2312" w:eastAsia="仿宋_GB2312" w:cs="仿宋_GB2312"/>
          <w:color w:val="auto"/>
          <w:sz w:val="32"/>
          <w:szCs w:val="32"/>
          <w:lang w:eastAsia="zh-CN"/>
        </w:rPr>
        <w:t>的</w:t>
      </w:r>
      <w:r>
        <w:rPr>
          <w:rFonts w:hint="eastAsia" w:ascii="仿宋_GB2312" w:hAnsi="仿宋_GB2312" w:eastAsia="仿宋_GB2312" w:cs="仿宋_GB2312"/>
          <w:color w:val="auto"/>
          <w:sz w:val="32"/>
          <w:szCs w:val="32"/>
        </w:rPr>
        <w:t>扶贫项目资金</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rPr>
        <w:t>。</w:t>
      </w: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五、一般公共预算财政拨款支出决算情况说明</w:t>
      </w:r>
    </w:p>
    <w:p>
      <w:pPr>
        <w:widowControl/>
        <w:spacing w:line="590" w:lineRule="exact"/>
        <w:ind w:firstLine="643" w:firstLineChars="200"/>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（一）总体情况。</w:t>
      </w:r>
    </w:p>
    <w:p>
      <w:pPr>
        <w:widowControl/>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年度一般公共预算财政拨款支出</w:t>
      </w:r>
      <w:r>
        <w:rPr>
          <w:rFonts w:hint="eastAsia" w:ascii="仿宋_GB2312" w:hAnsi="仿宋_GB2312" w:eastAsia="仿宋_GB2312" w:cs="仿宋_GB2312"/>
          <w:color w:val="auto"/>
          <w:sz w:val="32"/>
          <w:szCs w:val="32"/>
          <w:lang w:val="en-US" w:eastAsia="zh-CN"/>
        </w:rPr>
        <w:t>42972.68</w:t>
      </w:r>
      <w:r>
        <w:rPr>
          <w:rFonts w:hint="eastAsia" w:ascii="仿宋_GB2312" w:hAnsi="仿宋_GB2312" w:eastAsia="仿宋_GB2312" w:cs="仿宋_GB2312"/>
          <w:color w:val="auto"/>
          <w:sz w:val="32"/>
          <w:szCs w:val="32"/>
        </w:rPr>
        <w:t>万元，占本年支出合计的100%。与上年度相比，一般公共预算财政拨款支出</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lang w:val="en-US" w:eastAsia="zh-CN"/>
        </w:rPr>
        <w:t>15975.84</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lang w:val="en-US" w:eastAsia="zh-CN"/>
        </w:rPr>
        <w:t>37.18</w:t>
      </w:r>
      <w:r>
        <w:rPr>
          <w:rFonts w:hint="eastAsia" w:ascii="仿宋_GB2312" w:hAnsi="仿宋_GB2312" w:eastAsia="仿宋_GB2312" w:cs="仿宋_GB2312"/>
          <w:color w:val="auto"/>
          <w:sz w:val="32"/>
          <w:szCs w:val="32"/>
        </w:rPr>
        <w:t>%。主要原因是用于脱贫攻坚各级整合</w:t>
      </w:r>
      <w:r>
        <w:rPr>
          <w:rFonts w:hint="eastAsia" w:ascii="仿宋_GB2312" w:hAnsi="仿宋_GB2312" w:eastAsia="仿宋_GB2312" w:cs="仿宋_GB2312"/>
          <w:color w:val="auto"/>
          <w:sz w:val="32"/>
          <w:szCs w:val="32"/>
          <w:lang w:eastAsia="zh-CN"/>
        </w:rPr>
        <w:t>的</w:t>
      </w:r>
      <w:r>
        <w:rPr>
          <w:rFonts w:hint="eastAsia" w:ascii="仿宋_GB2312" w:hAnsi="仿宋_GB2312" w:eastAsia="仿宋_GB2312" w:cs="仿宋_GB2312"/>
          <w:color w:val="auto"/>
          <w:sz w:val="32"/>
          <w:szCs w:val="32"/>
        </w:rPr>
        <w:t>扶贫项目资金</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rPr>
        <w:t>。</w:t>
      </w:r>
    </w:p>
    <w:p>
      <w:pPr>
        <w:widowControl/>
        <w:spacing w:line="590" w:lineRule="exact"/>
        <w:ind w:firstLine="640" w:firstLineChars="200"/>
        <w:rPr>
          <w:rFonts w:hint="eastAsia" w:ascii="仿宋_GB2312" w:hAnsi="仿宋_GB2312" w:eastAsia="仿宋_GB2312" w:cs="仿宋_GB2312"/>
          <w:color w:val="auto"/>
          <w:sz w:val="32"/>
          <w:szCs w:val="32"/>
        </w:rPr>
      </w:pPr>
    </w:p>
    <w:p>
      <w:pPr>
        <w:widowControl/>
        <w:spacing w:line="590" w:lineRule="exact"/>
        <w:ind w:firstLine="643" w:firstLineChars="200"/>
        <w:rPr>
          <w:rFonts w:hint="eastAsia" w:ascii="楷体_GB2312" w:hAnsi="楷体_GB2312" w:eastAsia="楷体_GB2312" w:cs="楷体_GB2312"/>
          <w:b/>
          <w:bCs/>
          <w:color w:val="auto"/>
          <w:sz w:val="32"/>
          <w:szCs w:val="32"/>
        </w:rPr>
      </w:pPr>
    </w:p>
    <w:p>
      <w:pPr>
        <w:widowControl/>
        <w:spacing w:line="590" w:lineRule="exact"/>
        <w:ind w:firstLine="643" w:firstLineChars="200"/>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（二）结构情况。</w:t>
      </w:r>
    </w:p>
    <w:p>
      <w:pPr>
        <w:widowControl/>
        <w:spacing w:line="590" w:lineRule="exact"/>
        <w:ind w:firstLine="640" w:firstLineChars="200"/>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年度一般公共预算财政拨款支出</w:t>
      </w:r>
      <w:r>
        <w:rPr>
          <w:rFonts w:hint="eastAsia" w:ascii="仿宋_GB2312" w:hAnsi="仿宋_GB2312" w:eastAsia="仿宋_GB2312" w:cs="仿宋_GB2312"/>
          <w:color w:val="auto"/>
          <w:sz w:val="32"/>
          <w:szCs w:val="32"/>
          <w:lang w:val="en-US" w:eastAsia="zh-CN"/>
        </w:rPr>
        <w:t>42972.68</w:t>
      </w:r>
      <w:r>
        <w:rPr>
          <w:rFonts w:hint="eastAsia" w:ascii="仿宋_GB2312" w:hAnsi="仿宋_GB2312" w:eastAsia="仿宋_GB2312" w:cs="仿宋_GB2312"/>
          <w:color w:val="auto"/>
          <w:sz w:val="32"/>
          <w:szCs w:val="32"/>
        </w:rPr>
        <w:t>万元，主要用于以下方面：</w:t>
      </w:r>
      <w:r>
        <w:rPr>
          <w:rFonts w:hint="eastAsia" w:ascii="仿宋_GB2312" w:hAnsi="仿宋_GB2312" w:eastAsia="仿宋_GB2312" w:cs="仿宋_GB2312"/>
          <w:color w:val="auto"/>
          <w:sz w:val="32"/>
          <w:szCs w:val="32"/>
          <w:lang w:eastAsia="zh-CN"/>
        </w:rPr>
        <w:t>社会保障和就业支出</w:t>
      </w:r>
      <w:r>
        <w:rPr>
          <w:rFonts w:hint="eastAsia" w:ascii="仿宋_GB2312" w:hAnsi="仿宋_GB2312" w:eastAsia="仿宋_GB2312" w:cs="仿宋_GB2312"/>
          <w:color w:val="auto"/>
          <w:sz w:val="32"/>
          <w:szCs w:val="32"/>
          <w:lang w:val="en-US" w:eastAsia="zh-CN"/>
        </w:rPr>
        <w:t>12.52万元，占0.029%；卫生健康支出2.11万元，占0.001%；农林水支出42958.05万元，占99.97%。</w:t>
      </w:r>
    </w:p>
    <w:p>
      <w:pPr>
        <w:widowControl/>
        <w:spacing w:line="590" w:lineRule="exact"/>
        <w:ind w:firstLine="643" w:firstLineChars="200"/>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（三）具体情况。</w:t>
      </w:r>
    </w:p>
    <w:p>
      <w:pPr>
        <w:widowControl/>
        <w:spacing w:line="59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年度一般公共预算财政拨款支出年初预算为</w:t>
      </w:r>
      <w:r>
        <w:rPr>
          <w:rFonts w:hint="eastAsia" w:ascii="仿宋_GB2312" w:hAnsi="仿宋_GB2312" w:eastAsia="仿宋_GB2312" w:cs="仿宋_GB2312"/>
          <w:color w:val="auto"/>
          <w:sz w:val="32"/>
          <w:szCs w:val="32"/>
          <w:lang w:val="en-US" w:eastAsia="zh-CN"/>
        </w:rPr>
        <w:t>10196.18</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42972.68</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421.46</w:t>
      </w:r>
      <w:r>
        <w:rPr>
          <w:rFonts w:hint="eastAsia" w:ascii="仿宋_GB2312" w:hAnsi="仿宋_GB2312" w:eastAsia="仿宋_GB2312" w:cs="仿宋_GB2312"/>
          <w:color w:val="auto"/>
          <w:sz w:val="32"/>
          <w:szCs w:val="32"/>
        </w:rPr>
        <w:t>%。其中：统筹整合资金</w:t>
      </w:r>
      <w:r>
        <w:rPr>
          <w:rFonts w:hint="eastAsia" w:ascii="仿宋_GB2312" w:hAnsi="仿宋_GB2312" w:eastAsia="仿宋_GB2312" w:cs="仿宋_GB2312"/>
          <w:color w:val="auto"/>
          <w:sz w:val="32"/>
          <w:szCs w:val="32"/>
          <w:lang w:val="en-US" w:eastAsia="zh-CN"/>
        </w:rPr>
        <w:t>37530.61</w:t>
      </w:r>
      <w:r>
        <w:rPr>
          <w:rFonts w:hint="eastAsia" w:ascii="仿宋_GB2312" w:hAnsi="仿宋_GB2312" w:eastAsia="仿宋_GB2312" w:cs="仿宋_GB2312"/>
          <w:color w:val="auto"/>
          <w:sz w:val="32"/>
          <w:szCs w:val="32"/>
        </w:rPr>
        <w:t>万元（含</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本级投入</w:t>
      </w:r>
      <w:r>
        <w:rPr>
          <w:rFonts w:hint="eastAsia" w:ascii="仿宋_GB2312" w:hAnsi="仿宋_GB2312" w:eastAsia="仿宋_GB2312" w:cs="仿宋_GB2312"/>
          <w:color w:val="auto"/>
          <w:sz w:val="32"/>
          <w:szCs w:val="32"/>
          <w:lang w:val="en-US" w:eastAsia="zh-CN"/>
        </w:rPr>
        <w:t>2000</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本级支出</w:t>
      </w:r>
      <w:r>
        <w:rPr>
          <w:rFonts w:hint="eastAsia" w:ascii="仿宋_GB2312" w:hAnsi="仿宋_GB2312" w:eastAsia="仿宋_GB2312" w:cs="仿宋_GB2312"/>
          <w:color w:val="auto"/>
          <w:sz w:val="32"/>
          <w:szCs w:val="32"/>
          <w:lang w:val="en-US" w:eastAsia="zh-CN"/>
        </w:rPr>
        <w:t>5442.07</w:t>
      </w:r>
      <w:r>
        <w:rPr>
          <w:rFonts w:hint="eastAsia" w:ascii="仿宋_GB2312" w:hAnsi="仿宋_GB2312" w:eastAsia="仿宋_GB2312" w:cs="仿宋_GB2312"/>
          <w:color w:val="auto"/>
          <w:sz w:val="32"/>
          <w:szCs w:val="32"/>
        </w:rPr>
        <w:t>万元。</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1．社会保障和就业支出（类）行政事业单位离退休（款）机关事业单位基本养老保险缴费支出（项）。</w:t>
      </w:r>
      <w:r>
        <w:rPr>
          <w:rFonts w:hint="eastAsia" w:ascii="仿宋_GB2312" w:hAnsi="仿宋_GB2312" w:eastAsia="仿宋_GB2312" w:cs="仿宋_GB2312"/>
          <w:color w:val="auto"/>
          <w:sz w:val="32"/>
          <w:szCs w:val="32"/>
        </w:rPr>
        <w:t>年初预算为</w:t>
      </w:r>
      <w:r>
        <w:rPr>
          <w:rFonts w:hint="eastAsia" w:ascii="仿宋_GB2312" w:hAnsi="仿宋_GB2312" w:eastAsia="仿宋_GB2312" w:cs="仿宋_GB2312"/>
          <w:color w:val="auto"/>
          <w:sz w:val="32"/>
          <w:szCs w:val="32"/>
          <w:lang w:val="en-US" w:eastAsia="zh-CN"/>
        </w:rPr>
        <w:t>6.59</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12.43</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188.62</w:t>
      </w:r>
      <w:r>
        <w:rPr>
          <w:rFonts w:hint="eastAsia" w:ascii="仿宋_GB2312" w:hAnsi="仿宋_GB2312" w:eastAsia="仿宋_GB2312" w:cs="仿宋_GB2312"/>
          <w:color w:val="auto"/>
          <w:sz w:val="32"/>
          <w:szCs w:val="32"/>
        </w:rPr>
        <w:t>%。决算数与年初预算数</w:t>
      </w:r>
      <w:r>
        <w:rPr>
          <w:rFonts w:hint="eastAsia" w:ascii="仿宋_GB2312" w:hAnsi="仿宋_GB2312" w:eastAsia="仿宋_GB2312" w:cs="仿宋_GB2312"/>
          <w:color w:val="auto"/>
          <w:sz w:val="32"/>
          <w:szCs w:val="32"/>
          <w:lang w:eastAsia="zh-CN"/>
        </w:rPr>
        <w:t>存在</w:t>
      </w:r>
      <w:r>
        <w:rPr>
          <w:rFonts w:hint="eastAsia" w:ascii="仿宋_GB2312" w:hAnsi="仿宋_GB2312" w:eastAsia="仿宋_GB2312" w:cs="仿宋_GB2312"/>
          <w:color w:val="auto"/>
          <w:sz w:val="32"/>
          <w:szCs w:val="32"/>
        </w:rPr>
        <w:t>差异</w:t>
      </w:r>
      <w:r>
        <w:rPr>
          <w:rFonts w:hint="eastAsia" w:ascii="仿宋_GB2312" w:hAnsi="仿宋_GB2312" w:eastAsia="仿宋_GB2312" w:cs="仿宋_GB2312"/>
          <w:color w:val="auto"/>
          <w:sz w:val="32"/>
          <w:szCs w:val="32"/>
          <w:lang w:eastAsia="zh-CN"/>
        </w:rPr>
        <w:t>的主要原因是人员增加</w:t>
      </w:r>
      <w:r>
        <w:rPr>
          <w:rFonts w:hint="eastAsia" w:ascii="仿宋_GB2312" w:hAnsi="仿宋_GB2312" w:eastAsia="仿宋_GB2312" w:cs="仿宋_GB2312"/>
          <w:color w:val="auto"/>
          <w:sz w:val="32"/>
          <w:szCs w:val="32"/>
        </w:rPr>
        <w:t>。</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2．社会保障和就业支出（类）其他社会保障和就业支出（款）其他社会保障和就业支出（项）。</w:t>
      </w:r>
      <w:r>
        <w:rPr>
          <w:rFonts w:hint="eastAsia" w:ascii="仿宋_GB2312" w:hAnsi="仿宋_GB2312" w:eastAsia="仿宋_GB2312" w:cs="仿宋_GB2312"/>
          <w:color w:val="auto"/>
          <w:sz w:val="32"/>
          <w:szCs w:val="32"/>
        </w:rPr>
        <w:t>年初预算为</w:t>
      </w:r>
      <w:r>
        <w:rPr>
          <w:rFonts w:hint="eastAsia" w:ascii="仿宋_GB2312" w:hAnsi="仿宋_GB2312" w:eastAsia="仿宋_GB2312" w:cs="仿宋_GB2312"/>
          <w:color w:val="auto"/>
          <w:sz w:val="32"/>
          <w:szCs w:val="32"/>
          <w:lang w:val="en-US" w:eastAsia="zh-CN"/>
        </w:rPr>
        <w:t>0.24</w:t>
      </w:r>
      <w:r>
        <w:rPr>
          <w:rFonts w:hint="eastAsia" w:ascii="仿宋_GB2312" w:hAnsi="仿宋_GB2312" w:eastAsia="仿宋_GB2312" w:cs="仿宋_GB2312"/>
          <w:color w:val="auto"/>
          <w:sz w:val="32"/>
          <w:szCs w:val="32"/>
        </w:rPr>
        <w:t>万元，支出决算为0.08万元，完成年初预算的</w:t>
      </w:r>
      <w:r>
        <w:rPr>
          <w:rFonts w:hint="eastAsia" w:ascii="仿宋_GB2312" w:hAnsi="仿宋_GB2312" w:eastAsia="仿宋_GB2312" w:cs="仿宋_GB2312"/>
          <w:color w:val="auto"/>
          <w:sz w:val="32"/>
          <w:szCs w:val="32"/>
          <w:lang w:val="en-US" w:eastAsia="zh-CN"/>
        </w:rPr>
        <w:t>33.34</w:t>
      </w:r>
      <w:r>
        <w:rPr>
          <w:rFonts w:hint="eastAsia" w:ascii="仿宋_GB2312" w:hAnsi="仿宋_GB2312" w:eastAsia="仿宋_GB2312" w:cs="仿宋_GB2312"/>
          <w:color w:val="auto"/>
          <w:sz w:val="32"/>
          <w:szCs w:val="32"/>
        </w:rPr>
        <w:t>%。决算数与年初预算数存在差异的主要原因是</w:t>
      </w:r>
      <w:r>
        <w:rPr>
          <w:rFonts w:hint="eastAsia" w:ascii="仿宋_GB2312" w:hAnsi="仿宋_GB2312" w:eastAsia="仿宋_GB2312" w:cs="仿宋_GB2312"/>
          <w:color w:val="auto"/>
          <w:sz w:val="32"/>
          <w:szCs w:val="32"/>
          <w:lang w:eastAsia="zh-CN"/>
        </w:rPr>
        <w:t>行政人员不缴纳失业保险</w:t>
      </w:r>
      <w:r>
        <w:rPr>
          <w:rFonts w:hint="eastAsia" w:ascii="仿宋_GB2312" w:hAnsi="仿宋_GB2312" w:eastAsia="仿宋_GB2312" w:cs="仿宋_GB2312"/>
          <w:color w:val="auto"/>
          <w:sz w:val="32"/>
          <w:szCs w:val="32"/>
        </w:rPr>
        <w:t>。</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3.</w:t>
      </w:r>
      <w:r>
        <w:rPr>
          <w:rFonts w:hint="eastAsia"/>
          <w:color w:val="auto"/>
        </w:rPr>
        <w:t xml:space="preserve"> </w:t>
      </w:r>
      <w:r>
        <w:rPr>
          <w:rFonts w:hint="eastAsia" w:ascii="仿宋_GB2312" w:hAnsi="仿宋_GB2312" w:eastAsia="仿宋_GB2312" w:cs="仿宋_GB2312"/>
          <w:b/>
          <w:bCs/>
          <w:color w:val="auto"/>
          <w:sz w:val="32"/>
          <w:szCs w:val="32"/>
        </w:rPr>
        <w:t>医疗卫生与计划生育支出（类）行政事业单位医疗（款）事业单位医疗（项）。</w:t>
      </w:r>
      <w:r>
        <w:rPr>
          <w:rFonts w:hint="eastAsia" w:ascii="仿宋_GB2312" w:hAnsi="仿宋_GB2312" w:eastAsia="仿宋_GB2312" w:cs="仿宋_GB2312"/>
          <w:color w:val="auto"/>
          <w:sz w:val="32"/>
          <w:szCs w:val="32"/>
        </w:rPr>
        <w:t>年初预算为</w:t>
      </w:r>
      <w:r>
        <w:rPr>
          <w:rFonts w:hint="eastAsia" w:ascii="仿宋_GB2312" w:hAnsi="仿宋_GB2312" w:eastAsia="仿宋_GB2312" w:cs="仿宋_GB2312"/>
          <w:color w:val="auto"/>
          <w:sz w:val="32"/>
          <w:szCs w:val="32"/>
          <w:lang w:val="en-US" w:eastAsia="zh-CN"/>
        </w:rPr>
        <w:t>2.16</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2.11</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97.69</w:t>
      </w:r>
      <w:r>
        <w:rPr>
          <w:rFonts w:hint="eastAsia" w:ascii="仿宋_GB2312" w:hAnsi="仿宋_GB2312" w:eastAsia="仿宋_GB2312" w:cs="仿宋_GB2312"/>
          <w:color w:val="auto"/>
          <w:sz w:val="32"/>
          <w:szCs w:val="32"/>
        </w:rPr>
        <w:t>%。决算数与年初预算数存在差异的主要原因是</w:t>
      </w:r>
      <w:r>
        <w:rPr>
          <w:rFonts w:hint="eastAsia" w:ascii="仿宋_GB2312" w:hAnsi="仿宋_GB2312" w:eastAsia="仿宋_GB2312" w:cs="仿宋_GB2312"/>
          <w:color w:val="auto"/>
          <w:sz w:val="32"/>
          <w:szCs w:val="32"/>
          <w:lang w:val="en-US" w:eastAsia="zh-CN"/>
        </w:rPr>
        <w:t>人员减少，部分人员工资标准降低</w:t>
      </w:r>
      <w:r>
        <w:rPr>
          <w:rFonts w:hint="eastAsia" w:ascii="仿宋_GB2312" w:hAnsi="仿宋_GB2312" w:eastAsia="仿宋_GB2312" w:cs="仿宋_GB2312"/>
          <w:color w:val="auto"/>
          <w:sz w:val="32"/>
          <w:szCs w:val="32"/>
        </w:rPr>
        <w:t>。</w:t>
      </w:r>
    </w:p>
    <w:p>
      <w:pPr>
        <w:widowControl/>
        <w:spacing w:line="59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b/>
          <w:bCs/>
          <w:color w:val="auto"/>
          <w:sz w:val="32"/>
          <w:szCs w:val="32"/>
        </w:rPr>
        <w:t>农林水支出（类）</w:t>
      </w:r>
      <w:r>
        <w:rPr>
          <w:rFonts w:hint="eastAsia" w:ascii="仿宋_GB2312" w:hAnsi="仿宋_GB2312" w:eastAsia="仿宋_GB2312" w:cs="仿宋_GB2312"/>
          <w:b/>
          <w:bCs/>
          <w:color w:val="auto"/>
          <w:sz w:val="32"/>
          <w:szCs w:val="32"/>
          <w:lang w:eastAsia="zh-CN"/>
        </w:rPr>
        <w:t>农业</w:t>
      </w:r>
      <w:r>
        <w:rPr>
          <w:rFonts w:hint="eastAsia" w:ascii="仿宋_GB2312" w:hAnsi="仿宋_GB2312" w:eastAsia="仿宋_GB2312" w:cs="仿宋_GB2312"/>
          <w:b/>
          <w:bCs/>
          <w:color w:val="auto"/>
          <w:sz w:val="32"/>
          <w:szCs w:val="32"/>
        </w:rPr>
        <w:t>（款）</w:t>
      </w:r>
      <w:r>
        <w:rPr>
          <w:rFonts w:hint="eastAsia" w:ascii="仿宋_GB2312" w:hAnsi="仿宋_GB2312" w:eastAsia="仿宋_GB2312" w:cs="仿宋_GB2312"/>
          <w:b/>
          <w:bCs/>
          <w:color w:val="auto"/>
          <w:sz w:val="32"/>
          <w:szCs w:val="32"/>
          <w:lang w:eastAsia="zh-CN"/>
        </w:rPr>
        <w:t>农村道路建设</w:t>
      </w:r>
      <w:r>
        <w:rPr>
          <w:rFonts w:hint="eastAsia" w:ascii="仿宋_GB2312" w:hAnsi="仿宋_GB2312" w:eastAsia="仿宋_GB2312" w:cs="仿宋_GB2312"/>
          <w:b/>
          <w:bCs/>
          <w:color w:val="auto"/>
          <w:sz w:val="32"/>
          <w:szCs w:val="32"/>
        </w:rPr>
        <w:t>（项）</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val="0"/>
          <w:bCs w:val="0"/>
          <w:color w:val="auto"/>
          <w:sz w:val="32"/>
          <w:szCs w:val="32"/>
          <w:lang w:eastAsia="zh-CN"/>
        </w:rPr>
        <w:t>年初预算为</w:t>
      </w:r>
      <w:r>
        <w:rPr>
          <w:rFonts w:hint="eastAsia" w:ascii="仿宋_GB2312" w:hAnsi="仿宋_GB2312" w:eastAsia="仿宋_GB2312" w:cs="仿宋_GB2312"/>
          <w:b w:val="0"/>
          <w:bCs w:val="0"/>
          <w:color w:val="auto"/>
          <w:sz w:val="32"/>
          <w:szCs w:val="32"/>
          <w:lang w:val="en-US" w:eastAsia="zh-CN"/>
        </w:rPr>
        <w:t>0万元，支出决算为5071.86万元。</w:t>
      </w:r>
      <w:r>
        <w:rPr>
          <w:rFonts w:hint="eastAsia" w:ascii="仿宋_GB2312" w:hAnsi="仿宋_GB2312" w:eastAsia="仿宋_GB2312" w:cs="仿宋_GB2312"/>
          <w:color w:val="auto"/>
          <w:sz w:val="32"/>
          <w:szCs w:val="32"/>
        </w:rPr>
        <w:t>决算数与年初预算数存在差异的主要原因是</w:t>
      </w:r>
      <w:r>
        <w:rPr>
          <w:rFonts w:hint="eastAsia" w:ascii="仿宋_GB2312" w:hAnsi="仿宋_GB2312" w:eastAsia="仿宋_GB2312" w:cs="仿宋_GB2312"/>
          <w:color w:val="auto"/>
          <w:sz w:val="32"/>
          <w:szCs w:val="32"/>
          <w:lang w:val="en-US" w:eastAsia="zh-CN"/>
        </w:rPr>
        <w:t>农村道路建设项目增加。</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b/>
          <w:bCs/>
          <w:color w:val="auto"/>
          <w:sz w:val="32"/>
          <w:szCs w:val="32"/>
        </w:rPr>
        <w:t xml:space="preserve"> 农林水支出（类）扶贫（款）行政运行（项）。</w:t>
      </w:r>
      <w:r>
        <w:rPr>
          <w:rFonts w:hint="eastAsia" w:ascii="仿宋_GB2312" w:hAnsi="仿宋_GB2312" w:eastAsia="仿宋_GB2312" w:cs="仿宋_GB2312"/>
          <w:color w:val="auto"/>
          <w:sz w:val="32"/>
          <w:szCs w:val="32"/>
        </w:rPr>
        <w:t>年初预算为</w:t>
      </w:r>
      <w:r>
        <w:rPr>
          <w:rFonts w:hint="eastAsia" w:ascii="仿宋_GB2312" w:hAnsi="仿宋_GB2312" w:eastAsia="仿宋_GB2312" w:cs="仿宋_GB2312"/>
          <w:color w:val="auto"/>
          <w:sz w:val="32"/>
          <w:szCs w:val="32"/>
          <w:lang w:val="en-US" w:eastAsia="zh-CN"/>
        </w:rPr>
        <w:t>113.59</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361.69</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318.42</w:t>
      </w:r>
      <w:r>
        <w:rPr>
          <w:rFonts w:hint="eastAsia" w:ascii="仿宋_GB2312" w:hAnsi="仿宋_GB2312" w:eastAsia="仿宋_GB2312" w:cs="仿宋_GB2312"/>
          <w:color w:val="auto"/>
          <w:sz w:val="32"/>
          <w:szCs w:val="32"/>
        </w:rPr>
        <w:t>%。决算数与年初预算数存在差异的主要原因是</w:t>
      </w:r>
      <w:r>
        <w:rPr>
          <w:rFonts w:hint="eastAsia" w:ascii="仿宋_GB2312" w:hAnsi="仿宋_GB2312" w:eastAsia="仿宋_GB2312" w:cs="仿宋_GB2312"/>
          <w:color w:val="auto"/>
          <w:sz w:val="32"/>
          <w:szCs w:val="32"/>
          <w:lang w:eastAsia="zh-CN"/>
        </w:rPr>
        <w:t>扶贫经费增加</w:t>
      </w:r>
      <w:r>
        <w:rPr>
          <w:rFonts w:hint="eastAsia" w:ascii="仿宋_GB2312" w:hAnsi="仿宋_GB2312" w:eastAsia="仿宋_GB2312" w:cs="仿宋_GB2312"/>
          <w:color w:val="auto"/>
          <w:sz w:val="32"/>
          <w:szCs w:val="32"/>
        </w:rPr>
        <w:t>。</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lang w:val="en-US" w:eastAsia="zh-CN"/>
        </w:rPr>
        <w:t>6</w:t>
      </w:r>
      <w:r>
        <w:rPr>
          <w:rFonts w:hint="eastAsia" w:ascii="仿宋_GB2312" w:hAnsi="仿宋_GB2312" w:eastAsia="仿宋_GB2312" w:cs="仿宋_GB2312"/>
          <w:b/>
          <w:color w:val="auto"/>
          <w:sz w:val="32"/>
          <w:szCs w:val="32"/>
        </w:rPr>
        <w:t>.</w:t>
      </w:r>
      <w:r>
        <w:rPr>
          <w:rFonts w:hint="eastAsia" w:ascii="仿宋_GB2312" w:hAnsi="仿宋_GB2312" w:eastAsia="仿宋_GB2312" w:cs="仿宋_GB2312"/>
          <w:b/>
          <w:bCs/>
          <w:color w:val="auto"/>
          <w:sz w:val="32"/>
          <w:szCs w:val="32"/>
        </w:rPr>
        <w:t xml:space="preserve"> 农林水支出（类）扶贫（款）</w:t>
      </w:r>
      <w:r>
        <w:rPr>
          <w:rFonts w:hint="eastAsia" w:ascii="仿宋_GB2312" w:hAnsi="仿宋_GB2312" w:eastAsia="仿宋_GB2312" w:cs="仿宋_GB2312"/>
          <w:b/>
          <w:bCs/>
          <w:color w:val="auto"/>
          <w:sz w:val="32"/>
          <w:szCs w:val="32"/>
          <w:lang w:eastAsia="zh-CN"/>
        </w:rPr>
        <w:t>一般行政管理事务</w:t>
      </w:r>
      <w:r>
        <w:rPr>
          <w:rFonts w:hint="eastAsia" w:ascii="仿宋_GB2312" w:hAnsi="仿宋_GB2312" w:eastAsia="仿宋_GB2312" w:cs="仿宋_GB2312"/>
          <w:b/>
          <w:bCs/>
          <w:color w:val="auto"/>
          <w:sz w:val="32"/>
          <w:szCs w:val="32"/>
        </w:rPr>
        <w:t>（项）。</w:t>
      </w:r>
      <w:r>
        <w:rPr>
          <w:rFonts w:hint="eastAsia" w:ascii="仿宋_GB2312" w:hAnsi="仿宋_GB2312" w:eastAsia="仿宋_GB2312" w:cs="仿宋_GB2312"/>
          <w:color w:val="auto"/>
          <w:sz w:val="32"/>
          <w:szCs w:val="32"/>
        </w:rPr>
        <w:t>年初预算为</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26.41</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%。决算数与年初预算数存在差异的主要原因是</w:t>
      </w:r>
      <w:r>
        <w:rPr>
          <w:rFonts w:hint="eastAsia" w:ascii="仿宋_GB2312" w:hAnsi="仿宋_GB2312" w:eastAsia="仿宋_GB2312" w:cs="仿宋_GB2312"/>
          <w:color w:val="auto"/>
          <w:sz w:val="32"/>
          <w:szCs w:val="32"/>
          <w:lang w:eastAsia="zh-CN"/>
        </w:rPr>
        <w:t>增加培训费</w:t>
      </w:r>
      <w:r>
        <w:rPr>
          <w:rFonts w:hint="eastAsia" w:ascii="仿宋_GB2312" w:hAnsi="仿宋_GB2312" w:eastAsia="仿宋_GB2312" w:cs="仿宋_GB2312"/>
          <w:color w:val="auto"/>
          <w:sz w:val="32"/>
          <w:szCs w:val="32"/>
        </w:rPr>
        <w:t>。</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lang w:val="en-US" w:eastAsia="zh-CN"/>
        </w:rPr>
        <w:t>7</w:t>
      </w:r>
      <w:r>
        <w:rPr>
          <w:rFonts w:hint="eastAsia" w:ascii="仿宋_GB2312" w:hAnsi="仿宋_GB2312" w:eastAsia="仿宋_GB2312" w:cs="仿宋_GB2312"/>
          <w:b/>
          <w:color w:val="auto"/>
          <w:sz w:val="32"/>
          <w:szCs w:val="32"/>
        </w:rPr>
        <w:t>.</w:t>
      </w:r>
      <w:r>
        <w:rPr>
          <w:rFonts w:hint="eastAsia" w:ascii="仿宋_GB2312" w:hAnsi="仿宋_GB2312" w:eastAsia="仿宋_GB2312" w:cs="仿宋_GB2312"/>
          <w:b/>
          <w:bCs/>
          <w:color w:val="auto"/>
          <w:sz w:val="32"/>
          <w:szCs w:val="32"/>
        </w:rPr>
        <w:t xml:space="preserve"> 农林水支出（类）扶贫（款）</w:t>
      </w:r>
      <w:r>
        <w:rPr>
          <w:rFonts w:hint="eastAsia" w:ascii="仿宋_GB2312" w:hAnsi="仿宋_GB2312" w:eastAsia="仿宋_GB2312" w:cs="仿宋_GB2312"/>
          <w:b/>
          <w:bCs/>
          <w:color w:val="auto"/>
          <w:sz w:val="32"/>
          <w:szCs w:val="32"/>
          <w:lang w:eastAsia="zh-CN"/>
        </w:rPr>
        <w:t>机关服务</w:t>
      </w:r>
      <w:r>
        <w:rPr>
          <w:rFonts w:hint="eastAsia" w:ascii="仿宋_GB2312" w:hAnsi="仿宋_GB2312" w:eastAsia="仿宋_GB2312" w:cs="仿宋_GB2312"/>
          <w:b/>
          <w:bCs/>
          <w:color w:val="auto"/>
          <w:sz w:val="32"/>
          <w:szCs w:val="32"/>
        </w:rPr>
        <w:t>（项）。</w:t>
      </w:r>
      <w:r>
        <w:rPr>
          <w:rFonts w:hint="eastAsia" w:ascii="仿宋_GB2312" w:hAnsi="仿宋_GB2312" w:eastAsia="仿宋_GB2312" w:cs="仿宋_GB2312"/>
          <w:color w:val="auto"/>
          <w:sz w:val="32"/>
          <w:szCs w:val="32"/>
        </w:rPr>
        <w:t>年初预算为</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188.63</w:t>
      </w:r>
      <w:r>
        <w:rPr>
          <w:rFonts w:hint="eastAsia" w:ascii="仿宋_GB2312" w:hAnsi="仿宋_GB2312" w:eastAsia="仿宋_GB2312" w:cs="仿宋_GB2312"/>
          <w:color w:val="auto"/>
          <w:sz w:val="32"/>
          <w:szCs w:val="32"/>
        </w:rPr>
        <w:t>万元。决算数与年初预算数存在差异的主要原因是</w:t>
      </w:r>
      <w:r>
        <w:rPr>
          <w:rFonts w:hint="eastAsia" w:ascii="仿宋_GB2312" w:hAnsi="仿宋_GB2312" w:eastAsia="仿宋_GB2312" w:cs="仿宋_GB2312"/>
          <w:color w:val="auto"/>
          <w:sz w:val="32"/>
          <w:szCs w:val="32"/>
          <w:lang w:eastAsia="zh-CN"/>
        </w:rPr>
        <w:t>村级信息员工资调整到该科目</w:t>
      </w:r>
      <w:r>
        <w:rPr>
          <w:rFonts w:hint="eastAsia" w:ascii="仿宋_GB2312" w:hAnsi="仿宋_GB2312" w:eastAsia="仿宋_GB2312" w:cs="仿宋_GB2312"/>
          <w:color w:val="auto"/>
          <w:sz w:val="32"/>
          <w:szCs w:val="32"/>
        </w:rPr>
        <w:t>。</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lang w:val="en-US" w:eastAsia="zh-CN"/>
        </w:rPr>
        <w:t>8</w:t>
      </w:r>
      <w:r>
        <w:rPr>
          <w:rFonts w:hint="eastAsia" w:ascii="仿宋_GB2312" w:hAnsi="仿宋_GB2312" w:eastAsia="仿宋_GB2312" w:cs="仿宋_GB2312"/>
          <w:b/>
          <w:color w:val="auto"/>
          <w:sz w:val="32"/>
          <w:szCs w:val="32"/>
        </w:rPr>
        <w:t>.</w:t>
      </w:r>
      <w:r>
        <w:rPr>
          <w:rFonts w:hint="eastAsia" w:ascii="仿宋_GB2312" w:hAnsi="仿宋_GB2312" w:eastAsia="仿宋_GB2312" w:cs="仿宋_GB2312"/>
          <w:b/>
          <w:bCs/>
          <w:color w:val="auto"/>
          <w:sz w:val="32"/>
          <w:szCs w:val="32"/>
        </w:rPr>
        <w:t xml:space="preserve"> 农林水支出（类）扶贫（款）农村基础设施建设（项）。</w:t>
      </w:r>
      <w:r>
        <w:rPr>
          <w:rFonts w:hint="eastAsia" w:ascii="仿宋_GB2312" w:hAnsi="仿宋_GB2312" w:eastAsia="仿宋_GB2312" w:cs="仿宋_GB2312"/>
          <w:color w:val="auto"/>
          <w:sz w:val="32"/>
          <w:szCs w:val="32"/>
        </w:rPr>
        <w:t>年初预算为</w:t>
      </w:r>
      <w:r>
        <w:rPr>
          <w:rFonts w:hint="eastAsia" w:ascii="仿宋_GB2312" w:hAnsi="仿宋_GB2312" w:eastAsia="仿宋_GB2312" w:cs="仿宋_GB2312"/>
          <w:color w:val="auto"/>
          <w:sz w:val="32"/>
          <w:szCs w:val="32"/>
          <w:lang w:val="en-US" w:eastAsia="zh-CN"/>
        </w:rPr>
        <w:t>6500</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27077.03</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416.6</w:t>
      </w:r>
      <w:r>
        <w:rPr>
          <w:rFonts w:hint="eastAsia" w:ascii="仿宋_GB2312" w:hAnsi="仿宋_GB2312" w:eastAsia="仿宋_GB2312" w:cs="仿宋_GB2312"/>
          <w:color w:val="auto"/>
          <w:sz w:val="32"/>
          <w:szCs w:val="32"/>
        </w:rPr>
        <w:t>%。决算数与年初预算数存在差异的主要原因是</w:t>
      </w:r>
      <w:r>
        <w:rPr>
          <w:rFonts w:hint="eastAsia" w:ascii="仿宋_GB2312" w:hAnsi="仿宋_GB2312" w:eastAsia="仿宋_GB2312" w:cs="仿宋_GB2312"/>
          <w:color w:val="auto"/>
          <w:sz w:val="32"/>
          <w:szCs w:val="32"/>
          <w:lang w:eastAsia="zh-CN"/>
        </w:rPr>
        <w:t>扶贫统筹整合项目支出增加</w:t>
      </w:r>
      <w:r>
        <w:rPr>
          <w:rFonts w:hint="eastAsia" w:ascii="仿宋_GB2312" w:hAnsi="仿宋_GB2312" w:eastAsia="仿宋_GB2312" w:cs="仿宋_GB2312"/>
          <w:color w:val="auto"/>
          <w:sz w:val="32"/>
          <w:szCs w:val="32"/>
        </w:rPr>
        <w:t>。</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lang w:val="en-US" w:eastAsia="zh-CN"/>
        </w:rPr>
        <w:t>9</w:t>
      </w:r>
      <w:r>
        <w:rPr>
          <w:rFonts w:hint="eastAsia" w:ascii="仿宋_GB2312" w:hAnsi="仿宋_GB2312" w:eastAsia="仿宋_GB2312" w:cs="仿宋_GB2312"/>
          <w:b/>
          <w:color w:val="auto"/>
          <w:sz w:val="32"/>
          <w:szCs w:val="32"/>
        </w:rPr>
        <w:t>.</w:t>
      </w:r>
      <w:r>
        <w:rPr>
          <w:rFonts w:hint="eastAsia" w:ascii="仿宋_GB2312" w:hAnsi="仿宋_GB2312" w:eastAsia="仿宋_GB2312" w:cs="仿宋_GB2312"/>
          <w:b/>
          <w:bCs/>
          <w:color w:val="auto"/>
          <w:sz w:val="32"/>
          <w:szCs w:val="32"/>
        </w:rPr>
        <w:t xml:space="preserve"> 农林水支出（类）扶贫（款）生产发展（项）。</w:t>
      </w:r>
      <w:r>
        <w:rPr>
          <w:rFonts w:hint="eastAsia" w:ascii="仿宋_GB2312" w:hAnsi="仿宋_GB2312" w:eastAsia="仿宋_GB2312" w:cs="仿宋_GB2312"/>
          <w:color w:val="auto"/>
          <w:sz w:val="32"/>
          <w:szCs w:val="32"/>
        </w:rPr>
        <w:t>年初预算为</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7667.05</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决算数与年初预算数存在差异的主要原因是</w:t>
      </w:r>
      <w:r>
        <w:rPr>
          <w:rFonts w:hint="eastAsia" w:ascii="仿宋_GB2312" w:hAnsi="仿宋_GB2312" w:eastAsia="仿宋_GB2312" w:cs="仿宋_GB2312"/>
          <w:color w:val="auto"/>
          <w:sz w:val="32"/>
          <w:szCs w:val="32"/>
          <w:lang w:eastAsia="zh-CN"/>
        </w:rPr>
        <w:t>扶贫统筹整合项目支出增加</w:t>
      </w:r>
      <w:r>
        <w:rPr>
          <w:rFonts w:hint="eastAsia" w:ascii="仿宋_GB2312" w:hAnsi="仿宋_GB2312" w:eastAsia="仿宋_GB2312" w:cs="仿宋_GB2312"/>
          <w:color w:val="auto"/>
          <w:sz w:val="32"/>
          <w:szCs w:val="32"/>
        </w:rPr>
        <w:t>。</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val="en-US" w:eastAsia="zh-CN"/>
        </w:rPr>
        <w:t>10</w:t>
      </w:r>
      <w:r>
        <w:rPr>
          <w:rFonts w:hint="eastAsia" w:ascii="仿宋_GB2312" w:hAnsi="仿宋_GB2312" w:eastAsia="仿宋_GB2312" w:cs="仿宋_GB2312"/>
          <w:b/>
          <w:bCs/>
          <w:color w:val="auto"/>
          <w:sz w:val="32"/>
          <w:szCs w:val="32"/>
        </w:rPr>
        <w:t>.农林水支出（类）扶贫（款）社会发展（项）。</w:t>
      </w:r>
      <w:r>
        <w:rPr>
          <w:rFonts w:hint="eastAsia" w:ascii="仿宋_GB2312" w:hAnsi="仿宋_GB2312" w:eastAsia="仿宋_GB2312" w:cs="仿宋_GB2312"/>
          <w:color w:val="auto"/>
          <w:sz w:val="32"/>
          <w:szCs w:val="32"/>
        </w:rPr>
        <w:t>年初预算为</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518.44</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决算数与年初预算数存在差异的主要原因是</w:t>
      </w:r>
      <w:r>
        <w:rPr>
          <w:rFonts w:hint="eastAsia" w:ascii="仿宋_GB2312" w:hAnsi="仿宋_GB2312" w:eastAsia="仿宋_GB2312" w:cs="仿宋_GB2312"/>
          <w:color w:val="auto"/>
          <w:sz w:val="32"/>
          <w:szCs w:val="32"/>
          <w:lang w:eastAsia="zh-CN"/>
        </w:rPr>
        <w:t>扶贫统筹整合项目支出增加</w:t>
      </w:r>
      <w:r>
        <w:rPr>
          <w:rFonts w:hint="eastAsia" w:ascii="仿宋_GB2312" w:hAnsi="仿宋_GB2312" w:eastAsia="仿宋_GB2312" w:cs="仿宋_GB2312"/>
          <w:color w:val="auto"/>
          <w:sz w:val="32"/>
          <w:szCs w:val="32"/>
        </w:rPr>
        <w:t>。</w:t>
      </w:r>
    </w:p>
    <w:p>
      <w:pPr>
        <w:widowControl/>
        <w:spacing w:line="590" w:lineRule="exact"/>
        <w:ind w:firstLine="643" w:firstLineChars="200"/>
        <w:outlineLvl w:val="1"/>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val="en-US" w:eastAsia="zh-CN"/>
        </w:rPr>
        <w:t>11</w:t>
      </w:r>
      <w:r>
        <w:rPr>
          <w:rFonts w:hint="eastAsia" w:ascii="仿宋_GB2312" w:hAnsi="仿宋_GB2312" w:eastAsia="仿宋_GB2312" w:cs="仿宋_GB2312"/>
          <w:b/>
          <w:bCs/>
          <w:color w:val="auto"/>
          <w:sz w:val="32"/>
          <w:szCs w:val="32"/>
        </w:rPr>
        <w:t>. 农林水支出（类）扶贫（款）其他扶贫支出（项）。</w:t>
      </w:r>
      <w:r>
        <w:rPr>
          <w:rFonts w:hint="eastAsia" w:ascii="仿宋_GB2312" w:hAnsi="仿宋_GB2312" w:eastAsia="仿宋_GB2312" w:cs="仿宋_GB2312"/>
          <w:color w:val="auto"/>
          <w:sz w:val="32"/>
          <w:szCs w:val="32"/>
        </w:rPr>
        <w:t>年初预算为</w:t>
      </w:r>
      <w:r>
        <w:rPr>
          <w:rFonts w:hint="eastAsia" w:ascii="仿宋_GB2312" w:hAnsi="仿宋_GB2312" w:eastAsia="仿宋_GB2312" w:cs="仿宋_GB2312"/>
          <w:color w:val="auto"/>
          <w:sz w:val="32"/>
          <w:szCs w:val="32"/>
          <w:lang w:val="en-US" w:eastAsia="zh-CN"/>
        </w:rPr>
        <w:t>3571.01</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2046.95</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57.33</w:t>
      </w:r>
      <w:r>
        <w:rPr>
          <w:rFonts w:hint="eastAsia" w:ascii="仿宋_GB2312" w:hAnsi="仿宋_GB2312" w:eastAsia="仿宋_GB2312" w:cs="仿宋_GB2312"/>
          <w:color w:val="auto"/>
          <w:sz w:val="32"/>
          <w:szCs w:val="32"/>
        </w:rPr>
        <w:t>%。决算数与年初预算数存在差异的主要原因是</w:t>
      </w:r>
      <w:r>
        <w:rPr>
          <w:rFonts w:hint="eastAsia" w:ascii="仿宋_GB2312" w:hAnsi="仿宋_GB2312" w:eastAsia="仿宋_GB2312" w:cs="仿宋_GB2312"/>
          <w:color w:val="auto"/>
          <w:sz w:val="32"/>
          <w:szCs w:val="32"/>
          <w:lang w:eastAsia="zh-CN"/>
        </w:rPr>
        <w:t>驻村工作经费列支各预算单位</w:t>
      </w:r>
      <w:r>
        <w:rPr>
          <w:rFonts w:hint="eastAsia" w:ascii="仿宋_GB2312" w:hAnsi="仿宋_GB2312" w:eastAsia="仿宋_GB2312" w:cs="仿宋_GB2312"/>
          <w:color w:val="auto"/>
          <w:sz w:val="32"/>
          <w:szCs w:val="32"/>
        </w:rPr>
        <w:t>。</w:t>
      </w:r>
    </w:p>
    <w:p>
      <w:pPr>
        <w:widowControl/>
        <w:spacing w:line="590" w:lineRule="exact"/>
        <w:ind w:firstLine="643" w:firstLineChars="200"/>
        <w:outlineLvl w:val="1"/>
        <w:rPr>
          <w:rFonts w:hint="eastAsia" w:ascii="仿宋_GB2312" w:hAnsi="仿宋_GB2312" w:eastAsia="仿宋_GB2312" w:cs="仿宋_GB2312"/>
          <w:b/>
          <w:bCs/>
          <w:color w:val="auto"/>
          <w:sz w:val="32"/>
          <w:szCs w:val="32"/>
        </w:rPr>
      </w:pP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六、一般公共预算财政拨款基本支出决算情况说明</w:t>
      </w:r>
    </w:p>
    <w:p>
      <w:pPr>
        <w:widowControl/>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年度一般公共预算财政拨款基本支出</w:t>
      </w:r>
      <w:r>
        <w:rPr>
          <w:rFonts w:hint="eastAsia" w:ascii="仿宋_GB2312" w:hAnsi="仿宋_GB2312" w:eastAsia="仿宋_GB2312" w:cs="仿宋_GB2312"/>
          <w:color w:val="auto"/>
          <w:sz w:val="32"/>
          <w:szCs w:val="32"/>
          <w:lang w:val="en-US" w:eastAsia="zh-CN"/>
        </w:rPr>
        <w:t>564.94</w:t>
      </w:r>
      <w:r>
        <w:rPr>
          <w:rFonts w:hint="eastAsia" w:ascii="仿宋_GB2312" w:hAnsi="仿宋_GB2312" w:eastAsia="仿宋_GB2312" w:cs="仿宋_GB2312"/>
          <w:color w:val="auto"/>
          <w:sz w:val="32"/>
          <w:szCs w:val="32"/>
        </w:rPr>
        <w:t>万元。其中：人员经费</w:t>
      </w:r>
      <w:r>
        <w:rPr>
          <w:rFonts w:hint="eastAsia" w:ascii="仿宋_GB2312" w:hAnsi="仿宋_GB2312" w:eastAsia="仿宋_GB2312" w:cs="仿宋_GB2312"/>
          <w:color w:val="auto"/>
          <w:sz w:val="32"/>
          <w:szCs w:val="32"/>
          <w:lang w:val="en-US" w:eastAsia="zh-CN"/>
        </w:rPr>
        <w:t>58.19</w:t>
      </w:r>
      <w:r>
        <w:rPr>
          <w:rFonts w:hint="eastAsia" w:ascii="仿宋_GB2312" w:hAnsi="仿宋_GB2312" w:eastAsia="仿宋_GB2312" w:cs="仿宋_GB2312"/>
          <w:color w:val="auto"/>
          <w:sz w:val="32"/>
          <w:szCs w:val="32"/>
        </w:rPr>
        <w:t>万元，主要包括：基本工资</w:t>
      </w:r>
      <w:r>
        <w:rPr>
          <w:rFonts w:hint="eastAsia" w:ascii="仿宋_GB2312" w:hAnsi="仿宋_GB2312" w:eastAsia="仿宋_GB2312" w:cs="仿宋_GB2312"/>
          <w:color w:val="auto"/>
          <w:sz w:val="32"/>
          <w:szCs w:val="32"/>
          <w:lang w:val="en-US" w:eastAsia="zh-CN"/>
        </w:rPr>
        <w:t>37.74</w:t>
      </w:r>
      <w:r>
        <w:rPr>
          <w:rFonts w:hint="eastAsia" w:ascii="仿宋_GB2312" w:hAnsi="仿宋_GB2312" w:eastAsia="仿宋_GB2312" w:cs="仿宋_GB2312"/>
          <w:color w:val="auto"/>
          <w:sz w:val="32"/>
          <w:szCs w:val="32"/>
        </w:rPr>
        <w:t>万元、津贴补贴</w:t>
      </w:r>
      <w:r>
        <w:rPr>
          <w:rFonts w:hint="eastAsia" w:ascii="仿宋_GB2312" w:hAnsi="仿宋_GB2312" w:eastAsia="仿宋_GB2312" w:cs="仿宋_GB2312"/>
          <w:color w:val="auto"/>
          <w:sz w:val="32"/>
          <w:szCs w:val="32"/>
          <w:lang w:val="en-US" w:eastAsia="zh-CN"/>
        </w:rPr>
        <w:t>3.72</w:t>
      </w:r>
      <w:r>
        <w:rPr>
          <w:rFonts w:hint="eastAsia" w:ascii="仿宋_GB2312" w:hAnsi="仿宋_GB2312" w:eastAsia="仿宋_GB2312" w:cs="仿宋_GB2312"/>
          <w:color w:val="auto"/>
          <w:sz w:val="32"/>
          <w:szCs w:val="32"/>
        </w:rPr>
        <w:t>万元、伙食补助费</w:t>
      </w:r>
      <w:r>
        <w:rPr>
          <w:rFonts w:hint="eastAsia" w:ascii="仿宋_GB2312" w:hAnsi="仿宋_GB2312" w:eastAsia="仿宋_GB2312" w:cs="仿宋_GB2312"/>
          <w:color w:val="auto"/>
          <w:sz w:val="32"/>
          <w:szCs w:val="32"/>
          <w:lang w:val="en-US" w:eastAsia="zh-CN"/>
        </w:rPr>
        <w:t>1.01</w:t>
      </w:r>
      <w:r>
        <w:rPr>
          <w:rFonts w:hint="eastAsia" w:ascii="仿宋_GB2312" w:hAnsi="仿宋_GB2312" w:eastAsia="仿宋_GB2312" w:cs="仿宋_GB2312"/>
          <w:color w:val="auto"/>
          <w:sz w:val="32"/>
          <w:szCs w:val="32"/>
        </w:rPr>
        <w:t>万元、绩效工资</w:t>
      </w:r>
      <w:r>
        <w:rPr>
          <w:rFonts w:hint="eastAsia" w:ascii="仿宋_GB2312" w:hAnsi="仿宋_GB2312" w:eastAsia="仿宋_GB2312" w:cs="仿宋_GB2312"/>
          <w:color w:val="auto"/>
          <w:sz w:val="32"/>
          <w:szCs w:val="32"/>
          <w:lang w:val="en-US" w:eastAsia="zh-CN"/>
        </w:rPr>
        <w:t>0.98</w:t>
      </w:r>
      <w:r>
        <w:rPr>
          <w:rFonts w:hint="eastAsia" w:ascii="仿宋_GB2312" w:hAnsi="仿宋_GB2312" w:eastAsia="仿宋_GB2312" w:cs="仿宋_GB2312"/>
          <w:color w:val="auto"/>
          <w:sz w:val="32"/>
          <w:szCs w:val="32"/>
        </w:rPr>
        <w:t>万元、机关事业单位基本养老保险缴费</w:t>
      </w:r>
      <w:r>
        <w:rPr>
          <w:rFonts w:hint="eastAsia" w:ascii="仿宋_GB2312" w:hAnsi="仿宋_GB2312" w:eastAsia="仿宋_GB2312" w:cs="仿宋_GB2312"/>
          <w:color w:val="auto"/>
          <w:sz w:val="32"/>
          <w:szCs w:val="32"/>
          <w:lang w:val="en-US" w:eastAsia="zh-CN"/>
        </w:rPr>
        <w:t>12.43</w:t>
      </w:r>
      <w:r>
        <w:rPr>
          <w:rFonts w:hint="eastAsia" w:ascii="仿宋_GB2312" w:hAnsi="仿宋_GB2312" w:eastAsia="仿宋_GB2312" w:cs="仿宋_GB2312"/>
          <w:color w:val="auto"/>
          <w:sz w:val="32"/>
          <w:szCs w:val="32"/>
        </w:rPr>
        <w:t>万元、职业年金缴费、其他社会保障缴费</w:t>
      </w:r>
      <w:r>
        <w:rPr>
          <w:rFonts w:hint="eastAsia" w:ascii="仿宋_GB2312" w:hAnsi="仿宋_GB2312" w:eastAsia="仿宋_GB2312" w:cs="仿宋_GB2312"/>
          <w:color w:val="auto"/>
          <w:sz w:val="32"/>
          <w:szCs w:val="32"/>
          <w:lang w:val="en-US" w:eastAsia="zh-CN"/>
        </w:rPr>
        <w:t>0.08</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；基本医疗保险缴费</w:t>
      </w:r>
      <w:r>
        <w:rPr>
          <w:rFonts w:hint="eastAsia" w:ascii="仿宋_GB2312" w:hAnsi="仿宋_GB2312" w:eastAsia="仿宋_GB2312" w:cs="仿宋_GB2312"/>
          <w:color w:val="auto"/>
          <w:sz w:val="32"/>
          <w:szCs w:val="32"/>
          <w:lang w:val="en-US" w:eastAsia="zh-CN"/>
        </w:rPr>
        <w:t>2.11万元</w:t>
      </w:r>
      <w:r>
        <w:rPr>
          <w:rFonts w:hint="eastAsia" w:ascii="仿宋_GB2312" w:hAnsi="仿宋_GB2312" w:eastAsia="仿宋_GB2312" w:cs="仿宋_GB2312"/>
          <w:color w:val="auto"/>
          <w:sz w:val="32"/>
          <w:szCs w:val="32"/>
          <w:lang w:eastAsia="zh-CN"/>
        </w:rPr>
        <w:t>；其他工资福利支出</w:t>
      </w:r>
      <w:r>
        <w:rPr>
          <w:rFonts w:hint="eastAsia" w:ascii="仿宋_GB2312" w:hAnsi="仿宋_GB2312" w:eastAsia="仿宋_GB2312" w:cs="仿宋_GB2312"/>
          <w:color w:val="auto"/>
          <w:sz w:val="32"/>
          <w:szCs w:val="32"/>
          <w:lang w:val="en-US" w:eastAsia="zh-CN"/>
        </w:rPr>
        <w:t>0.13万元；</w:t>
      </w:r>
      <w:r>
        <w:rPr>
          <w:rFonts w:hint="eastAsia" w:ascii="仿宋_GB2312" w:hAnsi="仿宋_GB2312" w:eastAsia="仿宋_GB2312" w:cs="仿宋_GB2312"/>
          <w:color w:val="auto"/>
          <w:sz w:val="32"/>
          <w:szCs w:val="32"/>
        </w:rPr>
        <w:t>公用经费</w:t>
      </w:r>
      <w:r>
        <w:rPr>
          <w:rFonts w:hint="eastAsia" w:ascii="仿宋_GB2312" w:hAnsi="仿宋_GB2312" w:eastAsia="仿宋_GB2312" w:cs="仿宋_GB2312"/>
          <w:color w:val="auto"/>
          <w:sz w:val="32"/>
          <w:szCs w:val="32"/>
          <w:lang w:val="en-US" w:eastAsia="zh-CN"/>
        </w:rPr>
        <w:t>506.75</w:t>
      </w:r>
      <w:r>
        <w:rPr>
          <w:rFonts w:hint="eastAsia" w:ascii="仿宋_GB2312" w:hAnsi="仿宋_GB2312" w:eastAsia="仿宋_GB2312" w:cs="仿宋_GB2312"/>
          <w:color w:val="auto"/>
          <w:sz w:val="32"/>
          <w:szCs w:val="32"/>
        </w:rPr>
        <w:t>万元，主要包括：办公费</w:t>
      </w:r>
      <w:r>
        <w:rPr>
          <w:rFonts w:hint="eastAsia" w:ascii="仿宋_GB2312" w:hAnsi="仿宋_GB2312" w:eastAsia="仿宋_GB2312" w:cs="仿宋_GB2312"/>
          <w:color w:val="auto"/>
          <w:sz w:val="32"/>
          <w:szCs w:val="32"/>
          <w:lang w:val="en-US" w:eastAsia="zh-CN"/>
        </w:rPr>
        <w:t>150.53</w:t>
      </w:r>
      <w:r>
        <w:rPr>
          <w:rFonts w:hint="eastAsia" w:ascii="仿宋_GB2312" w:hAnsi="仿宋_GB2312" w:eastAsia="仿宋_GB2312" w:cs="仿宋_GB2312"/>
          <w:color w:val="auto"/>
          <w:sz w:val="32"/>
          <w:szCs w:val="32"/>
        </w:rPr>
        <w:t>万元、印刷费</w:t>
      </w:r>
      <w:r>
        <w:rPr>
          <w:rFonts w:hint="eastAsia" w:ascii="仿宋_GB2312" w:hAnsi="仿宋_GB2312" w:eastAsia="仿宋_GB2312" w:cs="仿宋_GB2312"/>
          <w:color w:val="auto"/>
          <w:sz w:val="32"/>
          <w:szCs w:val="32"/>
          <w:lang w:val="en-US" w:eastAsia="zh-CN"/>
        </w:rPr>
        <w:t>52.24</w:t>
      </w:r>
      <w:r>
        <w:rPr>
          <w:rFonts w:hint="eastAsia" w:ascii="仿宋_GB2312" w:hAnsi="仿宋_GB2312" w:eastAsia="仿宋_GB2312" w:cs="仿宋_GB2312"/>
          <w:color w:val="auto"/>
          <w:sz w:val="32"/>
          <w:szCs w:val="32"/>
        </w:rPr>
        <w:t>万元、咨询费、手续费、水费、电费、邮电费</w:t>
      </w:r>
      <w:r>
        <w:rPr>
          <w:rFonts w:hint="eastAsia" w:ascii="仿宋_GB2312" w:hAnsi="仿宋_GB2312" w:eastAsia="仿宋_GB2312" w:cs="仿宋_GB2312"/>
          <w:color w:val="auto"/>
          <w:sz w:val="32"/>
          <w:szCs w:val="32"/>
          <w:lang w:val="en-US" w:eastAsia="zh-CN"/>
        </w:rPr>
        <w:t>0.07万元</w:t>
      </w:r>
      <w:r>
        <w:rPr>
          <w:rFonts w:hint="eastAsia" w:ascii="仿宋_GB2312" w:hAnsi="仿宋_GB2312" w:eastAsia="仿宋_GB2312" w:cs="仿宋_GB2312"/>
          <w:color w:val="auto"/>
          <w:sz w:val="32"/>
          <w:szCs w:val="32"/>
        </w:rPr>
        <w:t>、取暖费、物业管理费、差旅费、因公出国（境）费用、维修（护）费、租赁费、会议费、培训费、公务接待费0.</w:t>
      </w:r>
      <w:r>
        <w:rPr>
          <w:rFonts w:hint="eastAsia" w:ascii="仿宋_GB2312" w:hAnsi="仿宋_GB2312" w:eastAsia="仿宋_GB2312" w:cs="仿宋_GB2312"/>
          <w:color w:val="auto"/>
          <w:sz w:val="32"/>
          <w:szCs w:val="32"/>
          <w:lang w:val="en-US" w:eastAsia="zh-CN"/>
        </w:rPr>
        <w:t>04</w:t>
      </w:r>
      <w:r>
        <w:rPr>
          <w:rFonts w:hint="eastAsia" w:ascii="仿宋_GB2312" w:hAnsi="仿宋_GB2312" w:eastAsia="仿宋_GB2312" w:cs="仿宋_GB2312"/>
          <w:color w:val="auto"/>
          <w:sz w:val="32"/>
          <w:szCs w:val="32"/>
        </w:rPr>
        <w:t>万元、专用材料费79.73万元、劳务费5.48万元、委</w:t>
      </w:r>
      <w:r>
        <w:rPr>
          <w:rFonts w:hint="eastAsia" w:ascii="仿宋_GB2312" w:hAnsi="仿宋_GB2312" w:eastAsia="仿宋_GB2312" w:cs="仿宋_GB2312"/>
          <w:color w:val="auto"/>
          <w:sz w:val="32"/>
          <w:szCs w:val="32"/>
          <w:lang w:eastAsia="zh-CN"/>
        </w:rPr>
        <w:t>托业务费</w:t>
      </w:r>
      <w:r>
        <w:rPr>
          <w:rFonts w:hint="eastAsia" w:ascii="仿宋_GB2312" w:hAnsi="仿宋_GB2312" w:eastAsia="仿宋_GB2312" w:cs="仿宋_GB2312"/>
          <w:color w:val="auto"/>
          <w:sz w:val="32"/>
          <w:szCs w:val="32"/>
          <w:lang w:val="en-US" w:eastAsia="zh-CN"/>
        </w:rPr>
        <w:t>279.07万元、</w:t>
      </w:r>
      <w:r>
        <w:rPr>
          <w:rFonts w:hint="eastAsia" w:ascii="仿宋_GB2312" w:hAnsi="仿宋_GB2312" w:eastAsia="仿宋_GB2312" w:cs="仿宋_GB2312"/>
          <w:color w:val="auto"/>
          <w:sz w:val="32"/>
          <w:szCs w:val="32"/>
        </w:rPr>
        <w:t>公务用车运行维护费</w:t>
      </w:r>
      <w:r>
        <w:rPr>
          <w:rFonts w:hint="eastAsia" w:ascii="仿宋_GB2312" w:hAnsi="仿宋_GB2312" w:eastAsia="仿宋_GB2312" w:cs="仿宋_GB2312"/>
          <w:color w:val="auto"/>
          <w:sz w:val="32"/>
          <w:szCs w:val="32"/>
          <w:lang w:val="en-US" w:eastAsia="zh-CN"/>
        </w:rPr>
        <w:t>3.51</w:t>
      </w:r>
      <w:r>
        <w:rPr>
          <w:rFonts w:hint="eastAsia" w:ascii="仿宋_GB2312" w:hAnsi="仿宋_GB2312" w:eastAsia="仿宋_GB2312" w:cs="仿宋_GB2312"/>
          <w:color w:val="auto"/>
          <w:sz w:val="32"/>
          <w:szCs w:val="32"/>
        </w:rPr>
        <w:t>万元、其他交通费用</w:t>
      </w:r>
      <w:r>
        <w:rPr>
          <w:rFonts w:hint="eastAsia" w:ascii="仿宋_GB2312" w:hAnsi="仿宋_GB2312" w:eastAsia="仿宋_GB2312" w:cs="仿宋_GB2312"/>
          <w:color w:val="auto"/>
          <w:sz w:val="32"/>
          <w:szCs w:val="32"/>
          <w:lang w:val="en-US" w:eastAsia="zh-CN"/>
        </w:rPr>
        <w:t>8.35</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其他商品和服务支出</w:t>
      </w:r>
      <w:r>
        <w:rPr>
          <w:rFonts w:hint="eastAsia" w:ascii="仿宋_GB2312" w:hAnsi="仿宋_GB2312" w:eastAsia="仿宋_GB2312" w:cs="仿宋_GB2312"/>
          <w:color w:val="auto"/>
          <w:sz w:val="32"/>
          <w:szCs w:val="32"/>
          <w:lang w:val="en-US" w:eastAsia="zh-CN"/>
        </w:rPr>
        <w:t>12.94万元</w:t>
      </w:r>
      <w:r>
        <w:rPr>
          <w:rFonts w:hint="eastAsia" w:ascii="仿宋_GB2312" w:hAnsi="仿宋_GB2312" w:eastAsia="仿宋_GB2312" w:cs="仿宋_GB2312"/>
          <w:color w:val="auto"/>
          <w:sz w:val="32"/>
          <w:szCs w:val="32"/>
        </w:rPr>
        <w:t>。</w:t>
      </w: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七、一般公共预算财政拨款“三公”经费支出决算情况说明</w:t>
      </w:r>
    </w:p>
    <w:p>
      <w:pPr>
        <w:widowControl/>
        <w:spacing w:line="590" w:lineRule="exact"/>
        <w:ind w:firstLine="643" w:firstLineChars="200"/>
        <w:outlineLvl w:val="2"/>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（一）“三公”经费财政拨款支出决算总体情况说明。</w:t>
      </w:r>
    </w:p>
    <w:p>
      <w:pPr>
        <w:widowControl/>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年度“三公”经费财政拨款支出预算为10.76万元，支出决算为</w:t>
      </w:r>
      <w:r>
        <w:rPr>
          <w:rFonts w:hint="eastAsia" w:ascii="仿宋_GB2312" w:hAnsi="仿宋_GB2312" w:eastAsia="仿宋_GB2312" w:cs="仿宋_GB2312"/>
          <w:color w:val="auto"/>
          <w:sz w:val="32"/>
          <w:szCs w:val="32"/>
          <w:lang w:val="en-US" w:eastAsia="zh-CN"/>
        </w:rPr>
        <w:t>3.55</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33</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2018年度</w:t>
      </w:r>
      <w:r>
        <w:rPr>
          <w:rFonts w:hint="eastAsia" w:ascii="仿宋_GB2312" w:hAnsi="仿宋_GB2312" w:eastAsia="仿宋_GB2312" w:cs="仿宋_GB2312"/>
          <w:color w:val="auto"/>
          <w:sz w:val="32"/>
          <w:szCs w:val="32"/>
        </w:rPr>
        <w:t>“三公”经费支出</w:t>
      </w:r>
      <w:r>
        <w:rPr>
          <w:rFonts w:hint="eastAsia" w:ascii="仿宋_GB2312" w:hAnsi="仿宋_GB2312" w:eastAsia="仿宋_GB2312" w:cs="仿宋_GB2312"/>
          <w:color w:val="auto"/>
          <w:sz w:val="32"/>
          <w:szCs w:val="32"/>
          <w:lang w:val="en-US" w:eastAsia="zh-CN"/>
        </w:rPr>
        <w:t>7.84万元，</w:t>
      </w: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年度“三公”经费支出决算数与预算数</w:t>
      </w:r>
      <w:r>
        <w:rPr>
          <w:rFonts w:hint="eastAsia" w:ascii="仿宋_GB2312" w:hAnsi="仿宋_GB2312" w:eastAsia="仿宋_GB2312" w:cs="仿宋_GB2312"/>
          <w:color w:val="auto"/>
          <w:sz w:val="32"/>
          <w:szCs w:val="32"/>
          <w:lang w:eastAsia="zh-CN"/>
        </w:rPr>
        <w:t>及以前年度</w:t>
      </w:r>
      <w:r>
        <w:rPr>
          <w:rFonts w:hint="eastAsia" w:ascii="仿宋_GB2312" w:hAnsi="仿宋_GB2312" w:eastAsia="仿宋_GB2312" w:cs="仿宋_GB2312"/>
          <w:color w:val="auto"/>
          <w:sz w:val="32"/>
          <w:szCs w:val="32"/>
        </w:rPr>
        <w:t>存在差异的主要原因是公务用车运行费用和接待费减少。</w:t>
      </w:r>
    </w:p>
    <w:p>
      <w:pPr>
        <w:widowControl/>
        <w:spacing w:line="590" w:lineRule="exact"/>
        <w:ind w:firstLine="643" w:firstLineChars="200"/>
        <w:outlineLvl w:val="2"/>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（二）“三公”经费财政拨款支出决算具体情况说明。</w:t>
      </w:r>
    </w:p>
    <w:p>
      <w:pPr>
        <w:widowControl/>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年度“三公”经费财政拨款支出决算中，因公出国（境）费支出决算0.00万元，完成预算的0.00%，占0.00%；公务用车购置及运行费支出决算</w:t>
      </w:r>
      <w:r>
        <w:rPr>
          <w:rFonts w:hint="eastAsia" w:ascii="仿宋_GB2312" w:hAnsi="仿宋_GB2312" w:eastAsia="仿宋_GB2312" w:cs="仿宋_GB2312"/>
          <w:color w:val="auto"/>
          <w:sz w:val="32"/>
          <w:szCs w:val="32"/>
          <w:lang w:val="en-US" w:eastAsia="zh-CN"/>
        </w:rPr>
        <w:t>3.51</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36.57</w:t>
      </w:r>
      <w:r>
        <w:rPr>
          <w:rFonts w:hint="eastAsia" w:ascii="仿宋_GB2312" w:hAnsi="仿宋_GB2312" w:eastAsia="仿宋_GB2312" w:cs="仿宋_GB2312"/>
          <w:color w:val="auto"/>
          <w:sz w:val="32"/>
          <w:szCs w:val="32"/>
        </w:rPr>
        <w:t>%，占95.41%；公务接待费支出决算0.</w:t>
      </w:r>
      <w:r>
        <w:rPr>
          <w:rFonts w:hint="eastAsia" w:ascii="仿宋_GB2312" w:hAnsi="仿宋_GB2312" w:eastAsia="仿宋_GB2312" w:cs="仿宋_GB2312"/>
          <w:color w:val="auto"/>
          <w:sz w:val="32"/>
          <w:szCs w:val="32"/>
          <w:lang w:val="en-US" w:eastAsia="zh-CN"/>
        </w:rPr>
        <w:t>04</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3.45</w:t>
      </w:r>
      <w:r>
        <w:rPr>
          <w:rFonts w:hint="eastAsia" w:ascii="仿宋_GB2312" w:hAnsi="仿宋_GB2312" w:eastAsia="仿宋_GB2312" w:cs="仿宋_GB2312"/>
          <w:color w:val="auto"/>
          <w:sz w:val="32"/>
          <w:szCs w:val="32"/>
        </w:rPr>
        <w:t>%，占4.59%。具体情况如下：</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1．因公出国（境）费</w:t>
      </w:r>
      <w:r>
        <w:rPr>
          <w:rFonts w:hint="eastAsia" w:ascii="仿宋_GB2312" w:hAnsi="仿宋_GB2312" w:eastAsia="仿宋_GB2312" w:cs="仿宋_GB2312"/>
          <w:color w:val="auto"/>
          <w:sz w:val="32"/>
          <w:szCs w:val="32"/>
        </w:rPr>
        <w:t>年初预算为0.00万元，支出决算为0.00万元，完成年初预算的0.00%。全年因公出国（境）团组0个，累计0人次。开支内容包括：全年无开支</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2．公务用车购置及运行费</w:t>
      </w:r>
      <w:r>
        <w:rPr>
          <w:rFonts w:hint="eastAsia" w:ascii="仿宋_GB2312" w:hAnsi="仿宋_GB2312" w:eastAsia="仿宋_GB2312" w:cs="仿宋_GB2312"/>
          <w:color w:val="auto"/>
          <w:sz w:val="32"/>
          <w:szCs w:val="32"/>
        </w:rPr>
        <w:t>年初预算为9.6万元，支出决算为</w:t>
      </w:r>
      <w:r>
        <w:rPr>
          <w:rFonts w:hint="eastAsia" w:ascii="仿宋_GB2312" w:hAnsi="仿宋_GB2312" w:eastAsia="仿宋_GB2312" w:cs="仿宋_GB2312"/>
          <w:color w:val="auto"/>
          <w:sz w:val="32"/>
          <w:szCs w:val="32"/>
          <w:lang w:val="en-US" w:eastAsia="zh-CN"/>
        </w:rPr>
        <w:t>3.51</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36.57</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2018年度车辆运行费支出7.84万元，2019年</w:t>
      </w:r>
      <w:r>
        <w:rPr>
          <w:rFonts w:hint="eastAsia" w:ascii="仿宋_GB2312" w:hAnsi="仿宋_GB2312" w:eastAsia="仿宋_GB2312" w:cs="仿宋_GB2312"/>
          <w:color w:val="auto"/>
          <w:sz w:val="32"/>
          <w:szCs w:val="32"/>
        </w:rPr>
        <w:t>决算数与年初预算数</w:t>
      </w:r>
      <w:r>
        <w:rPr>
          <w:rFonts w:hint="eastAsia" w:ascii="仿宋_GB2312" w:hAnsi="仿宋_GB2312" w:eastAsia="仿宋_GB2312" w:cs="仿宋_GB2312"/>
          <w:color w:val="auto"/>
          <w:sz w:val="32"/>
          <w:szCs w:val="32"/>
          <w:lang w:eastAsia="zh-CN"/>
        </w:rPr>
        <w:t>及以前年度</w:t>
      </w:r>
      <w:r>
        <w:rPr>
          <w:rFonts w:hint="eastAsia" w:ascii="仿宋_GB2312" w:hAnsi="仿宋_GB2312" w:eastAsia="仿宋_GB2312" w:cs="仿宋_GB2312"/>
          <w:color w:val="auto"/>
          <w:sz w:val="32"/>
          <w:szCs w:val="32"/>
        </w:rPr>
        <w:t>存在差异的主要原因是</w:t>
      </w:r>
      <w:r>
        <w:rPr>
          <w:rFonts w:hint="eastAsia" w:ascii="仿宋_GB2312" w:hAnsi="仿宋_GB2312" w:eastAsia="仿宋_GB2312" w:cs="仿宋_GB2312"/>
          <w:color w:val="auto"/>
          <w:sz w:val="32"/>
          <w:szCs w:val="32"/>
          <w:lang w:eastAsia="zh-CN"/>
        </w:rPr>
        <w:t>事业单位公车改革</w:t>
      </w:r>
      <w:r>
        <w:rPr>
          <w:rFonts w:hint="eastAsia" w:ascii="仿宋_GB2312" w:hAnsi="仿宋_GB2312" w:eastAsia="仿宋_GB2312" w:cs="仿宋_GB2312"/>
          <w:color w:val="auto"/>
          <w:sz w:val="32"/>
          <w:szCs w:val="32"/>
        </w:rPr>
        <w:t>。其中：</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公务用车购置支出</w:t>
      </w:r>
      <w:r>
        <w:rPr>
          <w:rFonts w:hint="eastAsia" w:ascii="仿宋_GB2312" w:hAnsi="仿宋_GB2312" w:eastAsia="仿宋_GB2312" w:cs="仿宋_GB2312"/>
          <w:color w:val="auto"/>
          <w:sz w:val="32"/>
          <w:szCs w:val="32"/>
        </w:rPr>
        <w:t>为0.00万元，购置车辆0辆，其中0车0辆。</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公务用车运行支出</w:t>
      </w:r>
      <w:r>
        <w:rPr>
          <w:rFonts w:hint="eastAsia" w:ascii="仿宋_GB2312" w:hAnsi="仿宋_GB2312" w:eastAsia="仿宋_GB2312" w:cs="仿宋_GB2312"/>
          <w:b/>
          <w:bCs/>
          <w:color w:val="auto"/>
          <w:sz w:val="32"/>
          <w:szCs w:val="32"/>
          <w:lang w:val="en-US" w:eastAsia="zh-CN"/>
        </w:rPr>
        <w:t>3.51</w:t>
      </w:r>
      <w:r>
        <w:rPr>
          <w:rFonts w:hint="eastAsia" w:ascii="仿宋_GB2312" w:hAnsi="仿宋_GB2312" w:eastAsia="仿宋_GB2312" w:cs="仿宋_GB2312"/>
          <w:color w:val="auto"/>
          <w:sz w:val="32"/>
          <w:szCs w:val="32"/>
        </w:rPr>
        <w:t>万元。主要用于日常公务运行。201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年期末，部门开支财政拨款的公务用车保有量为</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辆。</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3.公务接待费</w:t>
      </w:r>
      <w:r>
        <w:rPr>
          <w:rFonts w:hint="eastAsia" w:ascii="仿宋_GB2312" w:hAnsi="仿宋_GB2312" w:eastAsia="仿宋_GB2312" w:cs="仿宋_GB2312"/>
          <w:color w:val="auto"/>
          <w:sz w:val="32"/>
          <w:szCs w:val="32"/>
        </w:rPr>
        <w:t>年初预算为1.16万元，支出决算为0.</w:t>
      </w:r>
      <w:r>
        <w:rPr>
          <w:rFonts w:hint="eastAsia" w:ascii="仿宋_GB2312" w:hAnsi="仿宋_GB2312" w:eastAsia="仿宋_GB2312" w:cs="仿宋_GB2312"/>
          <w:color w:val="auto"/>
          <w:sz w:val="32"/>
          <w:szCs w:val="32"/>
          <w:lang w:val="en-US" w:eastAsia="zh-CN"/>
        </w:rPr>
        <w:t>04</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3.45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2018年度公务接待费支出0.36万元，2019年度</w:t>
      </w:r>
      <w:r>
        <w:rPr>
          <w:rFonts w:hint="eastAsia" w:ascii="仿宋_GB2312" w:hAnsi="仿宋_GB2312" w:eastAsia="仿宋_GB2312" w:cs="仿宋_GB2312"/>
          <w:color w:val="auto"/>
          <w:sz w:val="32"/>
          <w:szCs w:val="32"/>
        </w:rPr>
        <w:t>决算数与年初预算数</w:t>
      </w:r>
      <w:r>
        <w:rPr>
          <w:rFonts w:hint="eastAsia" w:ascii="仿宋_GB2312" w:hAnsi="仿宋_GB2312" w:eastAsia="仿宋_GB2312" w:cs="仿宋_GB2312"/>
          <w:color w:val="auto"/>
          <w:sz w:val="32"/>
          <w:szCs w:val="32"/>
          <w:lang w:eastAsia="zh-CN"/>
        </w:rPr>
        <w:t>及以前年度</w:t>
      </w:r>
      <w:r>
        <w:rPr>
          <w:rFonts w:hint="eastAsia" w:ascii="仿宋_GB2312" w:hAnsi="仿宋_GB2312" w:eastAsia="仿宋_GB2312" w:cs="仿宋_GB2312"/>
          <w:color w:val="auto"/>
          <w:sz w:val="32"/>
          <w:szCs w:val="32"/>
        </w:rPr>
        <w:t>存在差异的主要原因是接待人数减少。其中：</w:t>
      </w:r>
    </w:p>
    <w:p>
      <w:pPr>
        <w:widowControl/>
        <w:spacing w:line="590" w:lineRule="exact"/>
        <w:ind w:firstLine="643" w:firstLineChars="200"/>
        <w:rPr>
          <w:rFonts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外宾接待支出0.00</w:t>
      </w:r>
      <w:r>
        <w:rPr>
          <w:rFonts w:hint="eastAsia" w:ascii="仿宋_GB2312" w:hAnsi="仿宋_GB2312" w:eastAsia="仿宋_GB2312" w:cs="仿宋_GB2312"/>
          <w:color w:val="auto"/>
          <w:sz w:val="32"/>
          <w:szCs w:val="32"/>
        </w:rPr>
        <w:t>万元。201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年共接待国（境）外来访团组0个、来访外宾0人次（不包括陪同人员）。</w:t>
      </w:r>
    </w:p>
    <w:p>
      <w:pPr>
        <w:widowControl/>
        <w:spacing w:line="59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其他国内公务接待支出0.</w:t>
      </w:r>
      <w:r>
        <w:rPr>
          <w:rFonts w:hint="eastAsia" w:ascii="仿宋_GB2312" w:hAnsi="仿宋_GB2312" w:eastAsia="仿宋_GB2312" w:cs="仿宋_GB2312"/>
          <w:b/>
          <w:bCs/>
          <w:color w:val="auto"/>
          <w:sz w:val="32"/>
          <w:szCs w:val="32"/>
          <w:lang w:val="en-US" w:eastAsia="zh-CN"/>
        </w:rPr>
        <w:t>04</w:t>
      </w:r>
      <w:r>
        <w:rPr>
          <w:rFonts w:hint="eastAsia" w:ascii="仿宋_GB2312" w:hAnsi="仿宋_GB2312" w:eastAsia="仿宋_GB2312" w:cs="仿宋_GB2312"/>
          <w:color w:val="auto"/>
          <w:sz w:val="32"/>
          <w:szCs w:val="32"/>
        </w:rPr>
        <w:t>万元。主要用于其他</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市来淮学习交流等。201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年共接待国内来访团组</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个、来宾</w:t>
      </w:r>
      <w:r>
        <w:rPr>
          <w:rFonts w:hint="eastAsia" w:ascii="仿宋_GB2312" w:hAnsi="仿宋_GB2312" w:eastAsia="仿宋_GB2312" w:cs="仿宋_GB2312"/>
          <w:color w:val="auto"/>
          <w:sz w:val="32"/>
          <w:szCs w:val="32"/>
          <w:lang w:val="en-US" w:eastAsia="zh-CN"/>
        </w:rPr>
        <w:t>12</w:t>
      </w:r>
      <w:r>
        <w:rPr>
          <w:rFonts w:hint="eastAsia" w:ascii="仿宋_GB2312" w:hAnsi="仿宋_GB2312" w:eastAsia="仿宋_GB2312" w:cs="仿宋_GB2312"/>
          <w:color w:val="auto"/>
          <w:sz w:val="32"/>
          <w:szCs w:val="32"/>
        </w:rPr>
        <w:t>人次（不包括陪同人员）。</w:t>
      </w: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八、预算绩效情况说明</w:t>
      </w:r>
    </w:p>
    <w:p>
      <w:pPr>
        <w:widowControl/>
        <w:spacing w:line="590" w:lineRule="exact"/>
        <w:ind w:firstLine="643" w:firstLineChars="200"/>
        <w:outlineLvl w:val="2"/>
        <w:rPr>
          <w:rFonts w:hint="eastAsia" w:ascii="楷体" w:hAnsi="楷体" w:eastAsia="楷体" w:cs="楷体"/>
          <w:b/>
          <w:bCs/>
          <w:color w:val="auto"/>
          <w:sz w:val="32"/>
          <w:szCs w:val="32"/>
        </w:rPr>
      </w:pPr>
      <w:r>
        <w:rPr>
          <w:rFonts w:hint="eastAsia" w:ascii="楷体" w:hAnsi="楷体" w:eastAsia="楷体" w:cs="楷体"/>
          <w:b/>
          <w:bCs/>
          <w:color w:val="auto"/>
          <w:sz w:val="32"/>
          <w:szCs w:val="32"/>
        </w:rPr>
        <w:t>（一）绩效管理工作开展情况。</w:t>
      </w:r>
    </w:p>
    <w:p>
      <w:pPr>
        <w:widowControl/>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扶贫办严格预算开支，建立有效的财务支出约束机制，严格执行财务管理制度，强化对项目资金的监管和拨付，加强对办公费、印刷费、公务接待、车辆运行等报账资料的审批。做到有章可循，按制办事，以堵塞漏洞，节约资金，防止资金支出中的跑、冒、滴、漏，最大限度地提高资金的使用效益。</w:t>
      </w:r>
    </w:p>
    <w:p>
      <w:pPr>
        <w:widowControl/>
        <w:spacing w:line="590" w:lineRule="exact"/>
        <w:ind w:firstLine="643" w:firstLineChars="200"/>
        <w:outlineLvl w:val="2"/>
        <w:rPr>
          <w:rFonts w:hint="eastAsia" w:ascii="楷体" w:hAnsi="楷体" w:eastAsia="楷体" w:cs="楷体"/>
          <w:b/>
          <w:bCs/>
          <w:color w:val="auto"/>
          <w:sz w:val="32"/>
          <w:szCs w:val="32"/>
        </w:rPr>
      </w:pPr>
      <w:r>
        <w:rPr>
          <w:rFonts w:hint="eastAsia" w:ascii="楷体" w:hAnsi="楷体" w:eastAsia="楷体" w:cs="楷体"/>
          <w:b/>
          <w:bCs/>
          <w:color w:val="auto"/>
          <w:sz w:val="32"/>
          <w:szCs w:val="32"/>
        </w:rPr>
        <w:t>（二）项目绩效自评结果。</w:t>
      </w:r>
    </w:p>
    <w:p>
      <w:pPr>
        <w:widowControl/>
        <w:spacing w:line="590" w:lineRule="exact"/>
        <w:ind w:firstLine="640" w:firstLineChars="200"/>
        <w:outlineLvl w:val="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年，我</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围绕脱贫摘帽目标，进一步加大资金整合和</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级投入力度，全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投入财政整合资金</w:t>
      </w:r>
      <w:r>
        <w:rPr>
          <w:rFonts w:hint="eastAsia" w:ascii="仿宋_GB2312" w:hAnsi="仿宋_GB2312" w:eastAsia="仿宋_GB2312" w:cs="仿宋_GB2312"/>
          <w:color w:val="auto"/>
          <w:sz w:val="32"/>
          <w:szCs w:val="32"/>
          <w:lang w:val="en-US" w:eastAsia="zh-CN"/>
        </w:rPr>
        <w:t>37530.61万</w:t>
      </w:r>
      <w:r>
        <w:rPr>
          <w:rFonts w:hint="eastAsia" w:ascii="仿宋_GB2312" w:hAnsi="仿宋_GB2312" w:eastAsia="仿宋_GB2312" w:cs="仿宋_GB2312"/>
          <w:color w:val="auto"/>
          <w:sz w:val="32"/>
          <w:szCs w:val="32"/>
        </w:rPr>
        <w:t>元，全部用于基础设施、公共服务和产业发展项目，全面统筹贫困村和非贫困村均衡发展，保障贫困村退出基础设施、公共服务各项建设建设达标，产业和集体经济全面发展，贫困群众提高脱贫质量；保障非贫困村与贫困村同步建设、同步提高，努力改善群众生产生活条件，</w:t>
      </w:r>
      <w:r>
        <w:rPr>
          <w:rFonts w:hint="eastAsia" w:ascii="仿宋_GB2312" w:eastAsia="仿宋_GB2312"/>
          <w:color w:val="auto"/>
          <w:sz w:val="32"/>
          <w:szCs w:val="32"/>
        </w:rPr>
        <w:t>保质保量完成了年度脱贫目标任务。</w:t>
      </w:r>
    </w:p>
    <w:p>
      <w:pPr>
        <w:widowControl/>
        <w:spacing w:line="590" w:lineRule="exact"/>
        <w:ind w:firstLine="643" w:firstLineChars="200"/>
        <w:outlineLvl w:val="2"/>
        <w:rPr>
          <w:rFonts w:hint="eastAsia" w:ascii="楷体" w:hAnsi="楷体" w:eastAsia="楷体" w:cs="楷体"/>
          <w:b/>
          <w:bCs/>
          <w:color w:val="auto"/>
          <w:sz w:val="32"/>
          <w:szCs w:val="32"/>
        </w:rPr>
      </w:pPr>
      <w:r>
        <w:rPr>
          <w:rFonts w:hint="eastAsia" w:ascii="楷体" w:hAnsi="楷体" w:eastAsia="楷体" w:cs="楷体"/>
          <w:b/>
          <w:bCs/>
          <w:color w:val="auto"/>
          <w:sz w:val="32"/>
          <w:szCs w:val="32"/>
        </w:rPr>
        <w:t>（三）重点绩效评价结果。</w:t>
      </w:r>
    </w:p>
    <w:p>
      <w:pPr>
        <w:widowControl/>
        <w:spacing w:line="590" w:lineRule="exact"/>
        <w:outlineLvl w:val="2"/>
        <w:rPr>
          <w:rFonts w:hint="eastAsia" w:ascii="仿宋" w:hAnsi="仿宋" w:eastAsia="仿宋" w:cs="仿宋"/>
          <w:color w:val="auto"/>
          <w:sz w:val="32"/>
          <w:szCs w:val="32"/>
        </w:rPr>
      </w:pPr>
      <w:r>
        <w:rPr>
          <w:rFonts w:hint="eastAsia" w:ascii="仿宋" w:hAnsi="仿宋" w:eastAsia="仿宋" w:cs="仿宋"/>
          <w:color w:val="auto"/>
          <w:sz w:val="32"/>
          <w:szCs w:val="32"/>
        </w:rPr>
        <w:t>无。</w:t>
      </w: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九、政府性基金预算财政拨款支出决算情况说明</w:t>
      </w:r>
    </w:p>
    <w:p>
      <w:pPr>
        <w:widowControl/>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政府性基金预算财政拨款支出年初预算为0.00万元，支出决算为0.00万元，完成年初预算的0.00%。其中等项目年末结转和结余资金数额较大，主要原因：我部门没有政府性基金收入，也没有使用政府性基金安排的支出。</w:t>
      </w: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十、机关运行经费支出情况说明</w:t>
      </w:r>
    </w:p>
    <w:p>
      <w:pPr>
        <w:widowControl/>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年度机关运行经费年初预算为</w:t>
      </w:r>
      <w:r>
        <w:rPr>
          <w:rFonts w:hint="eastAsia" w:ascii="仿宋_GB2312" w:hAnsi="仿宋_GB2312" w:eastAsia="仿宋_GB2312" w:cs="仿宋_GB2312"/>
          <w:color w:val="auto"/>
          <w:sz w:val="32"/>
          <w:szCs w:val="32"/>
          <w:lang w:val="en-US" w:eastAsia="zh-CN"/>
        </w:rPr>
        <w:t>113.59</w:t>
      </w:r>
      <w:r>
        <w:rPr>
          <w:rFonts w:hint="eastAsia" w:ascii="仿宋_GB2312" w:hAnsi="仿宋_GB2312" w:eastAsia="仿宋_GB2312" w:cs="仿宋_GB2312"/>
          <w:color w:val="auto"/>
          <w:sz w:val="32"/>
          <w:szCs w:val="32"/>
        </w:rPr>
        <w:t>万元，支出决算为</w:t>
      </w:r>
      <w:r>
        <w:rPr>
          <w:rFonts w:hint="eastAsia" w:ascii="仿宋_GB2312" w:hAnsi="仿宋_GB2312" w:eastAsia="仿宋_GB2312" w:cs="仿宋_GB2312"/>
          <w:color w:val="auto"/>
          <w:sz w:val="32"/>
          <w:szCs w:val="32"/>
          <w:lang w:val="en-US" w:eastAsia="zh-CN"/>
        </w:rPr>
        <w:t>361.69</w:t>
      </w:r>
      <w:r>
        <w:rPr>
          <w:rFonts w:hint="eastAsia" w:ascii="仿宋_GB2312" w:hAnsi="仿宋_GB2312" w:eastAsia="仿宋_GB2312" w:cs="仿宋_GB2312"/>
          <w:color w:val="auto"/>
          <w:sz w:val="32"/>
          <w:szCs w:val="32"/>
        </w:rPr>
        <w:t>万元，完成年初预算的</w:t>
      </w:r>
      <w:r>
        <w:rPr>
          <w:rFonts w:hint="eastAsia" w:ascii="仿宋_GB2312" w:hAnsi="仿宋_GB2312" w:eastAsia="仿宋_GB2312" w:cs="仿宋_GB2312"/>
          <w:color w:val="auto"/>
          <w:sz w:val="32"/>
          <w:szCs w:val="32"/>
          <w:lang w:val="en-US" w:eastAsia="zh-CN"/>
        </w:rPr>
        <w:t>318.42</w:t>
      </w:r>
      <w:r>
        <w:rPr>
          <w:rFonts w:hint="eastAsia" w:ascii="仿宋_GB2312" w:hAnsi="仿宋_GB2312" w:eastAsia="仿宋_GB2312" w:cs="仿宋_GB2312"/>
          <w:color w:val="auto"/>
          <w:sz w:val="32"/>
          <w:szCs w:val="32"/>
        </w:rPr>
        <w:t>%。决算数与年初预算数存在差异的主要原因是支付乡镇扶贫办脱贫攻坚工作经费。</w:t>
      </w: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十一、政府采购支出情况说明</w:t>
      </w:r>
    </w:p>
    <w:p>
      <w:pPr>
        <w:widowControl/>
        <w:spacing w:line="59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年度政府采购支出总额</w:t>
      </w:r>
      <w:r>
        <w:rPr>
          <w:rFonts w:hint="eastAsia" w:ascii="仿宋_GB2312" w:hAnsi="仿宋_GB2312" w:eastAsia="仿宋_GB2312" w:cs="仿宋_GB2312"/>
          <w:color w:val="auto"/>
          <w:sz w:val="32"/>
          <w:szCs w:val="32"/>
          <w:lang w:val="en-US" w:eastAsia="zh-CN"/>
        </w:rPr>
        <w:t>27077.03</w:t>
      </w:r>
      <w:r>
        <w:rPr>
          <w:rFonts w:hint="eastAsia" w:ascii="仿宋_GB2312" w:hAnsi="仿宋_GB2312" w:eastAsia="仿宋_GB2312" w:cs="仿宋_GB2312"/>
          <w:color w:val="auto"/>
          <w:sz w:val="32"/>
          <w:szCs w:val="32"/>
        </w:rPr>
        <w:t>万元，其中：政府采购货物支出</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万元、政府采购工程支出</w:t>
      </w:r>
      <w:r>
        <w:rPr>
          <w:rFonts w:hint="eastAsia" w:ascii="仿宋_GB2312" w:hAnsi="仿宋_GB2312" w:eastAsia="仿宋_GB2312" w:cs="仿宋_GB2312"/>
          <w:color w:val="auto"/>
          <w:sz w:val="32"/>
          <w:szCs w:val="32"/>
          <w:lang w:val="en-US" w:eastAsia="zh-CN"/>
        </w:rPr>
        <w:t>27077.03</w:t>
      </w:r>
      <w:r>
        <w:rPr>
          <w:rFonts w:hint="eastAsia" w:ascii="仿宋_GB2312" w:hAnsi="仿宋_GB2312" w:eastAsia="仿宋_GB2312" w:cs="仿宋_GB2312"/>
          <w:color w:val="auto"/>
          <w:sz w:val="32"/>
          <w:szCs w:val="32"/>
        </w:rPr>
        <w:t>万元、政府采购服务支出</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万元。授予中小企业合同金额</w:t>
      </w:r>
      <w:r>
        <w:rPr>
          <w:rFonts w:hint="eastAsia" w:ascii="仿宋_GB2312" w:hAnsi="仿宋_GB2312" w:eastAsia="仿宋_GB2312" w:cs="仿宋_GB2312"/>
          <w:color w:val="auto"/>
          <w:sz w:val="32"/>
          <w:szCs w:val="32"/>
          <w:lang w:val="en-US" w:eastAsia="zh-CN"/>
        </w:rPr>
        <w:t>27077.03</w:t>
      </w:r>
      <w:r>
        <w:rPr>
          <w:rFonts w:hint="eastAsia" w:ascii="仿宋_GB2312" w:hAnsi="仿宋_GB2312" w:eastAsia="仿宋_GB2312" w:cs="仿宋_GB2312"/>
          <w:color w:val="auto"/>
          <w:sz w:val="32"/>
          <w:szCs w:val="32"/>
        </w:rPr>
        <w:t>万元，占政府采购支出总额的100%，其中：授予小微企业合同金额</w:t>
      </w:r>
      <w:r>
        <w:rPr>
          <w:rFonts w:hint="eastAsia" w:ascii="仿宋_GB2312" w:hAnsi="仿宋_GB2312" w:eastAsia="仿宋_GB2312" w:cs="仿宋_GB2312"/>
          <w:color w:val="auto"/>
          <w:sz w:val="32"/>
          <w:szCs w:val="32"/>
          <w:lang w:val="en-US" w:eastAsia="zh-CN"/>
        </w:rPr>
        <w:t>27077.03</w:t>
      </w:r>
      <w:r>
        <w:rPr>
          <w:rFonts w:hint="eastAsia" w:ascii="仿宋_GB2312" w:hAnsi="仿宋_GB2312" w:eastAsia="仿宋_GB2312" w:cs="仿宋_GB2312"/>
          <w:color w:val="auto"/>
          <w:sz w:val="32"/>
          <w:szCs w:val="32"/>
        </w:rPr>
        <w:t>万元，占政府采购支出总额的100%。</w:t>
      </w:r>
    </w:p>
    <w:p>
      <w:pPr>
        <w:widowControl/>
        <w:spacing w:line="590" w:lineRule="exact"/>
        <w:ind w:firstLine="640" w:firstLineChars="200"/>
        <w:outlineLvl w:val="1"/>
        <w:rPr>
          <w:rFonts w:hint="eastAsia" w:ascii="黑体" w:hAnsi="黑体" w:eastAsia="黑体" w:cs="黑体"/>
          <w:color w:val="auto"/>
          <w:sz w:val="32"/>
          <w:szCs w:val="32"/>
        </w:rPr>
      </w:pPr>
    </w:p>
    <w:p>
      <w:pPr>
        <w:widowControl/>
        <w:spacing w:line="590" w:lineRule="exact"/>
        <w:ind w:firstLine="640" w:firstLineChars="200"/>
        <w:outlineLvl w:val="1"/>
        <w:rPr>
          <w:rFonts w:hint="eastAsia" w:ascii="黑体" w:hAnsi="黑体" w:eastAsia="黑体" w:cs="黑体"/>
          <w:color w:val="auto"/>
          <w:sz w:val="32"/>
          <w:szCs w:val="32"/>
        </w:rPr>
      </w:pPr>
    </w:p>
    <w:p>
      <w:pPr>
        <w:widowControl/>
        <w:spacing w:line="590" w:lineRule="exact"/>
        <w:ind w:firstLine="640" w:firstLineChars="200"/>
        <w:outlineLvl w:val="1"/>
        <w:rPr>
          <w:rFonts w:hint="eastAsia" w:ascii="黑体" w:hAnsi="黑体" w:eastAsia="黑体" w:cs="黑体"/>
          <w:color w:val="auto"/>
          <w:sz w:val="32"/>
          <w:szCs w:val="32"/>
        </w:rPr>
      </w:pPr>
      <w:r>
        <w:rPr>
          <w:rFonts w:hint="eastAsia" w:ascii="黑体" w:hAnsi="黑体" w:eastAsia="黑体" w:cs="黑体"/>
          <w:color w:val="auto"/>
          <w:sz w:val="32"/>
          <w:szCs w:val="32"/>
        </w:rPr>
        <w:t>十二、国有资产占用情况说明</w:t>
      </w:r>
    </w:p>
    <w:p>
      <w:pPr>
        <w:widowControl/>
        <w:spacing w:line="590" w:lineRule="exact"/>
        <w:ind w:firstLine="640" w:firstLineChars="200"/>
        <w:rPr>
          <w:rFonts w:hint="eastAsia" w:ascii="仿宋" w:hAnsi="仿宋" w:eastAsia="仿宋" w:cs="仿宋"/>
          <w:color w:val="auto"/>
          <w:sz w:val="32"/>
          <w:szCs w:val="32"/>
        </w:rPr>
        <w:sectPr>
          <w:pgSz w:w="11906" w:h="16838"/>
          <w:pgMar w:top="1440" w:right="1800" w:bottom="1440" w:left="1800" w:header="720" w:footer="720" w:gutter="0"/>
          <w:pgBorders w:offsetFrom="page">
            <w:top w:val="none" w:sz="0" w:space="0"/>
            <w:left w:val="none" w:sz="0" w:space="0"/>
            <w:bottom w:val="none" w:sz="0" w:space="0"/>
            <w:right w:val="none" w:sz="0" w:space="0"/>
          </w:pgBorders>
          <w:pgNumType w:fmt="numberInDash"/>
          <w:cols w:space="720" w:num="1"/>
          <w:docGrid w:type="lines" w:linePitch="312" w:charSpace="0"/>
        </w:sectPr>
      </w:pPr>
      <w:r>
        <w:rPr>
          <w:rFonts w:hint="eastAsia" w:ascii="仿宋_GB2312" w:hAnsi="仿宋_GB2312" w:eastAsia="仿宋_GB2312" w:cs="仿宋_GB2312"/>
          <w:color w:val="auto"/>
          <w:sz w:val="32"/>
          <w:szCs w:val="32"/>
        </w:rPr>
        <w:t>201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年期末，我部门共有车辆</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辆，其中：主要领导干部用车</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辆。</w:t>
      </w:r>
      <w:r>
        <w:rPr>
          <w:rFonts w:hint="eastAsia" w:ascii="仿宋" w:hAnsi="仿宋" w:eastAsia="仿宋" w:cs="仿宋"/>
          <w:color w:val="auto"/>
          <w:sz w:val="32"/>
          <w:szCs w:val="32"/>
        </w:rPr>
        <w:t>单位价值50万元以上通用设备0台，单位价值100万元以上通用设备0台。</w:t>
      </w: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widowControl/>
        <w:jc w:val="left"/>
        <w:rPr>
          <w:rFonts w:hint="eastAsia" w:ascii="黑体" w:hAnsi="宋体" w:eastAsia="黑体" w:cs="宋体"/>
          <w:color w:val="auto"/>
          <w:kern w:val="0"/>
          <w:sz w:val="28"/>
          <w:szCs w:val="28"/>
        </w:rPr>
      </w:pPr>
    </w:p>
    <w:p>
      <w:pPr>
        <w:jc w:val="center"/>
        <w:outlineLvl w:val="0"/>
        <w:rPr>
          <w:rFonts w:hint="eastAsia" w:ascii="黑体" w:hAnsi="黑体" w:eastAsia="黑体" w:cs="黑体"/>
          <w:color w:val="auto"/>
          <w:sz w:val="48"/>
          <w:szCs w:val="48"/>
        </w:rPr>
      </w:pPr>
      <w:r>
        <w:rPr>
          <w:rFonts w:hint="eastAsia" w:ascii="黑体" w:hAnsi="黑体" w:eastAsia="黑体" w:cs="黑体"/>
          <w:color w:val="auto"/>
          <w:sz w:val="48"/>
          <w:szCs w:val="48"/>
        </w:rPr>
        <w:t>第四部分  名词解释</w:t>
      </w:r>
    </w:p>
    <w:p>
      <w:pPr>
        <w:jc w:val="center"/>
        <w:rPr>
          <w:rFonts w:hint="eastAsia" w:ascii="黑体" w:hAnsi="黑体" w:eastAsia="黑体" w:cs="黑体"/>
          <w:color w:val="auto"/>
          <w:sz w:val="48"/>
          <w:szCs w:val="48"/>
        </w:rPr>
      </w:pPr>
    </w:p>
    <w:p>
      <w:pPr>
        <w:jc w:val="center"/>
        <w:outlineLvl w:val="0"/>
        <w:rPr>
          <w:rFonts w:hint="eastAsia" w:ascii="黑体" w:hAnsi="黑体" w:eastAsia="黑体" w:cs="黑体"/>
          <w:color w:val="auto"/>
          <w:sz w:val="48"/>
          <w:szCs w:val="48"/>
        </w:rPr>
        <w:sectPr>
          <w:pgSz w:w="11906" w:h="16838"/>
          <w:pgMar w:top="1440" w:right="1531" w:bottom="1440" w:left="1587" w:header="850" w:footer="992" w:gutter="0"/>
          <w:pgBorders w:offsetFrom="page">
            <w:top w:val="none" w:sz="0" w:space="0"/>
            <w:left w:val="none" w:sz="0" w:space="0"/>
            <w:bottom w:val="none" w:sz="0" w:space="0"/>
            <w:right w:val="none" w:sz="0" w:space="0"/>
          </w:pgBorders>
          <w:pgNumType w:fmt="numberInDash"/>
          <w:cols w:space="720" w:num="1"/>
          <w:docGrid w:type="lines" w:linePitch="317" w:charSpace="0"/>
        </w:sectPr>
      </w:pP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一、财政拨款收入：单位从同级政府财政部门取得的财政预算资金。</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二、事业收入：事业单位开展专业业务活动及其辅助活动取得的收入。</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三、上级补助收入：事业单位从主管部门和上级单位取得的非财政补助收入。</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四、附属单位上缴收入：事业单位取得附属独立核算单位根据有关规定上缴的收入。</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五、经营收入：事业单位在专业业务活动及其辅助活动之外开展非独立核算经营活动取得的收入。</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六、其他收入：单位取得的除“财政拨款收入”、“事业收入”、“上级补助收入”、“附属单位上缴收入”、“经营收入”以外的各项收入。</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八、基本支出：为保障机构正常运转、完成日常工作任务而发生的人员支出和公用支出。</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九、项目支出：基本支出之外为完成特定行政任务和事业发展目标所发生的支出。</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十二、工资福利支出：单位支付给在职职工和编制外长期聘用人员的各类劳动报酬，以及为上述人员缴纳的各项社会保险费等。</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十三、商品和服务支出：单位购买商品和服务的支出。</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十四、对个人和家庭的补助支出：单位用于对个人和家庭的补助支出。</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十五、年末结转：本年度或以前年度预算安排，已执行但尚未完成或因客观条件发生变化无法按原计划实施，需延迟到以后年度按有关规定继续使用的资金。</w:t>
      </w:r>
    </w:p>
    <w:p>
      <w:pPr>
        <w:widowControl/>
        <w:spacing w:line="59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十六、年末结余：本年度或以前年度预算安排，已执行完毕或因客观条件发生变化无法按原预算安排实施，不需要再使用或无法按原预算安排继续使用的资金。</w:t>
      </w:r>
    </w:p>
    <w:sectPr>
      <w:pgSz w:w="11906" w:h="16838"/>
      <w:pgMar w:top="1928" w:right="1474" w:bottom="1701" w:left="1588" w:header="851" w:footer="992" w:gutter="0"/>
      <w:pgBorders w:offsetFrom="page">
        <w:top w:val="none" w:sz="0" w:space="0"/>
        <w:left w:val="none" w:sz="0" w:space="0"/>
        <w:bottom w:val="none" w:sz="0" w:space="0"/>
        <w:right w:val="none" w:sz="0" w:space="0"/>
      </w:pgBorders>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- 23 -</w:t>
                          </w:r>
                          <w:r>
                            <w:rPr>
                              <w:rFonts w:hint="eastAsia"/>
                              <w:sz w:val="18"/>
                            </w:rPr>
                            <w:fldChar w:fldCharType="end"/>
                          </w:r>
                        </w:p>
                      </w:txbxContent>
                    </wps:txbx>
                    <wps:bodyPr wrap="none" lIns="0" tIns="0" rIns="0" bIns="0" upright="0">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B1q+sgBAACZ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i2oUtKHLc48PPPH+dff86/v5Pr&#10;LE8foMash4B5afjgB1ya2Q/ozKwHFW3+Ih+CcRT3dBFXDomI/Gi1XK0qDAmMzRfEZ4/PQ4T0UXpL&#10;stHQiNMrovLjHaQxdU7J1Zy/1caUCRr3nwMxs4fl3sces5WG3TAR2vn2hHx6HHxDHe45JeaTQ13z&#10;jsxGnI3dbBxC1PuuLFGuB+H9IWETpbdcYYSdCuPECrtpu/JK/HsvWY9/1OY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PAdavrIAQAAmQMAAA4AAAAAAAAAAQAgAAAAHgEAAGRycy9lMm9Eb2Mu&#10;eG1sUEsFBgAAAAAGAAYAWQEAAFgFA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- 23 -</w:t>
                    </w:r>
                    <w:r>
                      <w:rPr>
                        <w:rFonts w:hint="eastAsia"/>
                        <w:sz w:val="18"/>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rPr>
                              <w:rFonts w:hint="eastAsia"/>
                            </w:rPr>
                          </w:pP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SB2ExcoBAACcAwAADgAAAAAAAAABACAAAAAeAQAAZHJzL2Uyb0Rv&#10;Yy54bWxQSwUGAAAAAAYABgBZAQAAWgUAAAAA&#10;">
              <v:fill on="f" focussize="0,0"/>
              <v:stroke on="f"/>
              <v:imagedata o:title=""/>
              <o:lock v:ext="edit" aspectratio="f"/>
              <v:textbox inset="0mm,0mm,0mm,0mm" style="mso-fit-shape-to-text:t;">
                <w:txbxContent>
                  <w:p>
                    <w:pPr>
                      <w:rPr>
                        <w:rFonts w:hint="eastAsia"/>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- 24 -</w:t>
                          </w:r>
                          <w:r>
                            <w:rPr>
                              <w:rFonts w:hint="eastAsia"/>
                              <w:sz w:val="18"/>
                            </w:rPr>
                            <w:fldChar w:fldCharType="end"/>
                          </w:r>
                        </w:p>
                      </w:txbxContent>
                    </wps:txbx>
                    <wps:bodyPr wrap="none" lIns="0" tIns="0" rIns="0" bIns="0" upright="0">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Ae93NyQEAAJkDAAAOAAAAAAAAAAEAIAAAAB4BAABkcnMvZTJvRG9j&#10;LnhtbFBLBQYAAAAABgAGAFkBAABZBQ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- 24 -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72F7E1"/>
    <w:multiLevelType w:val="singleLevel"/>
    <w:tmpl w:val="CC72F7E1"/>
    <w:lvl w:ilvl="0" w:tentative="0">
      <w:start w:val="1"/>
      <w:numFmt w:val="chineseCounting"/>
      <w:suff w:val="space"/>
      <w:lvlText w:val="第%1部分"/>
      <w:lvlJc w:val="left"/>
      <w:rPr>
        <w:rFonts w:hint="eastAsia"/>
      </w:rPr>
    </w:lvl>
  </w:abstractNum>
  <w:abstractNum w:abstractNumId="1">
    <w:nsid w:val="5971BE17"/>
    <w:multiLevelType w:val="singleLevel"/>
    <w:tmpl w:val="5971BE17"/>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0E8"/>
    <w:rsid w:val="000270E8"/>
    <w:rsid w:val="00057AFD"/>
    <w:rsid w:val="00076410"/>
    <w:rsid w:val="000C073B"/>
    <w:rsid w:val="001003F8"/>
    <w:rsid w:val="00144159"/>
    <w:rsid w:val="001718A8"/>
    <w:rsid w:val="00182842"/>
    <w:rsid w:val="001905F2"/>
    <w:rsid w:val="001D61B1"/>
    <w:rsid w:val="001F5040"/>
    <w:rsid w:val="002006EB"/>
    <w:rsid w:val="00260D70"/>
    <w:rsid w:val="00282C7F"/>
    <w:rsid w:val="00287811"/>
    <w:rsid w:val="002B3F94"/>
    <w:rsid w:val="002E6A86"/>
    <w:rsid w:val="00304D04"/>
    <w:rsid w:val="00305B88"/>
    <w:rsid w:val="00315FEB"/>
    <w:rsid w:val="0042585F"/>
    <w:rsid w:val="00445CAC"/>
    <w:rsid w:val="00472E19"/>
    <w:rsid w:val="00487869"/>
    <w:rsid w:val="004D5275"/>
    <w:rsid w:val="004E2F73"/>
    <w:rsid w:val="004F4034"/>
    <w:rsid w:val="00507364"/>
    <w:rsid w:val="00546F7C"/>
    <w:rsid w:val="005A0C2F"/>
    <w:rsid w:val="005B1AE2"/>
    <w:rsid w:val="006228C4"/>
    <w:rsid w:val="006512DD"/>
    <w:rsid w:val="00656BEF"/>
    <w:rsid w:val="00656D75"/>
    <w:rsid w:val="00657E86"/>
    <w:rsid w:val="00673EF7"/>
    <w:rsid w:val="0069449E"/>
    <w:rsid w:val="006C07F0"/>
    <w:rsid w:val="006C644A"/>
    <w:rsid w:val="006C7D84"/>
    <w:rsid w:val="007148E8"/>
    <w:rsid w:val="00733DAA"/>
    <w:rsid w:val="00742BA0"/>
    <w:rsid w:val="00753545"/>
    <w:rsid w:val="00764156"/>
    <w:rsid w:val="007706D7"/>
    <w:rsid w:val="007879ED"/>
    <w:rsid w:val="007A48A3"/>
    <w:rsid w:val="007C029F"/>
    <w:rsid w:val="007C7F49"/>
    <w:rsid w:val="007D2A21"/>
    <w:rsid w:val="00843461"/>
    <w:rsid w:val="00872946"/>
    <w:rsid w:val="0088023A"/>
    <w:rsid w:val="008858FB"/>
    <w:rsid w:val="00894B41"/>
    <w:rsid w:val="008B5427"/>
    <w:rsid w:val="00903F6B"/>
    <w:rsid w:val="009173F9"/>
    <w:rsid w:val="00975A04"/>
    <w:rsid w:val="009F546E"/>
    <w:rsid w:val="00A079F0"/>
    <w:rsid w:val="00A24F43"/>
    <w:rsid w:val="00A57BF7"/>
    <w:rsid w:val="00A83D8A"/>
    <w:rsid w:val="00A93E7D"/>
    <w:rsid w:val="00AA260E"/>
    <w:rsid w:val="00AA44CB"/>
    <w:rsid w:val="00AA67CD"/>
    <w:rsid w:val="00AC096C"/>
    <w:rsid w:val="00AD6761"/>
    <w:rsid w:val="00AE600E"/>
    <w:rsid w:val="00B0083B"/>
    <w:rsid w:val="00B209B8"/>
    <w:rsid w:val="00B249F3"/>
    <w:rsid w:val="00B31EF4"/>
    <w:rsid w:val="00B710DD"/>
    <w:rsid w:val="00B71BE2"/>
    <w:rsid w:val="00BE5A85"/>
    <w:rsid w:val="00BF5718"/>
    <w:rsid w:val="00C3106E"/>
    <w:rsid w:val="00C60609"/>
    <w:rsid w:val="00C95CC1"/>
    <w:rsid w:val="00CA3F44"/>
    <w:rsid w:val="00CE212D"/>
    <w:rsid w:val="00CE4B38"/>
    <w:rsid w:val="00D1321A"/>
    <w:rsid w:val="00D30ADF"/>
    <w:rsid w:val="00D6315E"/>
    <w:rsid w:val="00D652C2"/>
    <w:rsid w:val="00D74EE2"/>
    <w:rsid w:val="00D83E19"/>
    <w:rsid w:val="00DA00C9"/>
    <w:rsid w:val="00DB200E"/>
    <w:rsid w:val="00DB65F5"/>
    <w:rsid w:val="00DE7BE4"/>
    <w:rsid w:val="00DF4C06"/>
    <w:rsid w:val="00E01C3E"/>
    <w:rsid w:val="00E13099"/>
    <w:rsid w:val="00E4339F"/>
    <w:rsid w:val="00E629EA"/>
    <w:rsid w:val="00E6777C"/>
    <w:rsid w:val="00EB05A3"/>
    <w:rsid w:val="00ED38B7"/>
    <w:rsid w:val="00EE051D"/>
    <w:rsid w:val="00F0131A"/>
    <w:rsid w:val="00F14C17"/>
    <w:rsid w:val="00F17041"/>
    <w:rsid w:val="00F44937"/>
    <w:rsid w:val="00F61A47"/>
    <w:rsid w:val="00F84422"/>
    <w:rsid w:val="00F95455"/>
    <w:rsid w:val="00FA574D"/>
    <w:rsid w:val="00FE7AD9"/>
    <w:rsid w:val="01322275"/>
    <w:rsid w:val="01401C47"/>
    <w:rsid w:val="01DC6F05"/>
    <w:rsid w:val="02081B8F"/>
    <w:rsid w:val="02A3489A"/>
    <w:rsid w:val="02CA138D"/>
    <w:rsid w:val="03356C96"/>
    <w:rsid w:val="033646FC"/>
    <w:rsid w:val="03570C19"/>
    <w:rsid w:val="03C75F80"/>
    <w:rsid w:val="0478364D"/>
    <w:rsid w:val="04BD33D3"/>
    <w:rsid w:val="053D4C0D"/>
    <w:rsid w:val="0557532E"/>
    <w:rsid w:val="05BF03CF"/>
    <w:rsid w:val="06AF5C7C"/>
    <w:rsid w:val="072F70DF"/>
    <w:rsid w:val="0799329C"/>
    <w:rsid w:val="086F16A7"/>
    <w:rsid w:val="09F85F24"/>
    <w:rsid w:val="0A0F7225"/>
    <w:rsid w:val="0A2B7D82"/>
    <w:rsid w:val="0ADC40E9"/>
    <w:rsid w:val="0AE607F4"/>
    <w:rsid w:val="0B451598"/>
    <w:rsid w:val="0B4B49C0"/>
    <w:rsid w:val="0BEB609E"/>
    <w:rsid w:val="0BEC73F4"/>
    <w:rsid w:val="0C392698"/>
    <w:rsid w:val="0CFD3703"/>
    <w:rsid w:val="0D456E64"/>
    <w:rsid w:val="0E481523"/>
    <w:rsid w:val="0FAD59AA"/>
    <w:rsid w:val="10BD36F6"/>
    <w:rsid w:val="11297926"/>
    <w:rsid w:val="11374EDE"/>
    <w:rsid w:val="11BF0649"/>
    <w:rsid w:val="11C9665C"/>
    <w:rsid w:val="123E3E08"/>
    <w:rsid w:val="13B15394"/>
    <w:rsid w:val="13D22E22"/>
    <w:rsid w:val="141B569B"/>
    <w:rsid w:val="14A35B1D"/>
    <w:rsid w:val="157E0B70"/>
    <w:rsid w:val="161C2DFF"/>
    <w:rsid w:val="16373578"/>
    <w:rsid w:val="165E4A4F"/>
    <w:rsid w:val="16655EB8"/>
    <w:rsid w:val="16D3336B"/>
    <w:rsid w:val="175B18A5"/>
    <w:rsid w:val="17806C36"/>
    <w:rsid w:val="17A74F62"/>
    <w:rsid w:val="18066A04"/>
    <w:rsid w:val="18714F4C"/>
    <w:rsid w:val="18A47774"/>
    <w:rsid w:val="1A8B1749"/>
    <w:rsid w:val="1B2E6FD8"/>
    <w:rsid w:val="1B877D21"/>
    <w:rsid w:val="1C4319A9"/>
    <w:rsid w:val="1D166D09"/>
    <w:rsid w:val="1E443B4B"/>
    <w:rsid w:val="1E75773A"/>
    <w:rsid w:val="1E994F4A"/>
    <w:rsid w:val="1EAF0224"/>
    <w:rsid w:val="1EF503F3"/>
    <w:rsid w:val="1F2230A4"/>
    <w:rsid w:val="1F621F65"/>
    <w:rsid w:val="20210932"/>
    <w:rsid w:val="202448E0"/>
    <w:rsid w:val="21302EEA"/>
    <w:rsid w:val="21EA364B"/>
    <w:rsid w:val="21F834AB"/>
    <w:rsid w:val="21F9345D"/>
    <w:rsid w:val="22376FB5"/>
    <w:rsid w:val="22446F1A"/>
    <w:rsid w:val="22624250"/>
    <w:rsid w:val="23DE36CA"/>
    <w:rsid w:val="23E152D7"/>
    <w:rsid w:val="23FD21D8"/>
    <w:rsid w:val="24C72C73"/>
    <w:rsid w:val="24D66A94"/>
    <w:rsid w:val="255D43C8"/>
    <w:rsid w:val="257C6DEF"/>
    <w:rsid w:val="26876BDD"/>
    <w:rsid w:val="2714632A"/>
    <w:rsid w:val="27440FBB"/>
    <w:rsid w:val="27B0539E"/>
    <w:rsid w:val="291973F4"/>
    <w:rsid w:val="292446F1"/>
    <w:rsid w:val="29365CF8"/>
    <w:rsid w:val="299469B3"/>
    <w:rsid w:val="29B1191C"/>
    <w:rsid w:val="2A805789"/>
    <w:rsid w:val="2AB71A84"/>
    <w:rsid w:val="2ADC0D75"/>
    <w:rsid w:val="2B3F2631"/>
    <w:rsid w:val="2B4A0E52"/>
    <w:rsid w:val="2B680B68"/>
    <w:rsid w:val="2C975890"/>
    <w:rsid w:val="2D1C3D67"/>
    <w:rsid w:val="2DEF21BB"/>
    <w:rsid w:val="2E4A2F05"/>
    <w:rsid w:val="2E9D3047"/>
    <w:rsid w:val="2ECC1061"/>
    <w:rsid w:val="2EE655DB"/>
    <w:rsid w:val="2FA476AD"/>
    <w:rsid w:val="2FF22C12"/>
    <w:rsid w:val="303F7540"/>
    <w:rsid w:val="3126756C"/>
    <w:rsid w:val="319A7EBB"/>
    <w:rsid w:val="31DC645D"/>
    <w:rsid w:val="31DD00BF"/>
    <w:rsid w:val="320005EE"/>
    <w:rsid w:val="3293174C"/>
    <w:rsid w:val="32BB38D4"/>
    <w:rsid w:val="32C9376D"/>
    <w:rsid w:val="336716D8"/>
    <w:rsid w:val="33780472"/>
    <w:rsid w:val="33AF0905"/>
    <w:rsid w:val="340D7100"/>
    <w:rsid w:val="355932F4"/>
    <w:rsid w:val="35611882"/>
    <w:rsid w:val="36746FC3"/>
    <w:rsid w:val="3676290A"/>
    <w:rsid w:val="368763AE"/>
    <w:rsid w:val="374E5DDB"/>
    <w:rsid w:val="385017AB"/>
    <w:rsid w:val="3919636C"/>
    <w:rsid w:val="394C1258"/>
    <w:rsid w:val="395D59E7"/>
    <w:rsid w:val="39707130"/>
    <w:rsid w:val="39A93932"/>
    <w:rsid w:val="3A915562"/>
    <w:rsid w:val="3B4E1D7F"/>
    <w:rsid w:val="3B8D4765"/>
    <w:rsid w:val="3BFD5744"/>
    <w:rsid w:val="3C000DBA"/>
    <w:rsid w:val="3DC045D3"/>
    <w:rsid w:val="3E504FFB"/>
    <w:rsid w:val="3E615CD0"/>
    <w:rsid w:val="3E9C47F6"/>
    <w:rsid w:val="3F8B0112"/>
    <w:rsid w:val="3FAB3095"/>
    <w:rsid w:val="3FD558A4"/>
    <w:rsid w:val="3FE45947"/>
    <w:rsid w:val="3FE9081E"/>
    <w:rsid w:val="406B1B35"/>
    <w:rsid w:val="40A77B40"/>
    <w:rsid w:val="41242965"/>
    <w:rsid w:val="413B501D"/>
    <w:rsid w:val="417B43ED"/>
    <w:rsid w:val="41F9714B"/>
    <w:rsid w:val="42C12A3B"/>
    <w:rsid w:val="42C61C74"/>
    <w:rsid w:val="42C62CBB"/>
    <w:rsid w:val="433D1A8A"/>
    <w:rsid w:val="435671EA"/>
    <w:rsid w:val="440809E9"/>
    <w:rsid w:val="442407A6"/>
    <w:rsid w:val="44805EA1"/>
    <w:rsid w:val="44FC62F4"/>
    <w:rsid w:val="45710696"/>
    <w:rsid w:val="46142B1B"/>
    <w:rsid w:val="461969FA"/>
    <w:rsid w:val="477A2BCD"/>
    <w:rsid w:val="47E60DD0"/>
    <w:rsid w:val="47F35197"/>
    <w:rsid w:val="4871377B"/>
    <w:rsid w:val="48735039"/>
    <w:rsid w:val="487B6D1A"/>
    <w:rsid w:val="489020A6"/>
    <w:rsid w:val="492C684B"/>
    <w:rsid w:val="49500594"/>
    <w:rsid w:val="49E433E7"/>
    <w:rsid w:val="49E7604E"/>
    <w:rsid w:val="4BA54415"/>
    <w:rsid w:val="4BB16CCC"/>
    <w:rsid w:val="4BD73E9C"/>
    <w:rsid w:val="4BDF7E95"/>
    <w:rsid w:val="4BF67CDD"/>
    <w:rsid w:val="4C370239"/>
    <w:rsid w:val="4D173441"/>
    <w:rsid w:val="4D603DD6"/>
    <w:rsid w:val="4EB8415E"/>
    <w:rsid w:val="4EBF010F"/>
    <w:rsid w:val="4F471EB0"/>
    <w:rsid w:val="509D5A3D"/>
    <w:rsid w:val="51331326"/>
    <w:rsid w:val="51740A7F"/>
    <w:rsid w:val="51A5541E"/>
    <w:rsid w:val="51B52550"/>
    <w:rsid w:val="51C96242"/>
    <w:rsid w:val="53906AE1"/>
    <w:rsid w:val="54420E1E"/>
    <w:rsid w:val="546079ED"/>
    <w:rsid w:val="54F46F60"/>
    <w:rsid w:val="55A37BEA"/>
    <w:rsid w:val="56362CD2"/>
    <w:rsid w:val="566C0EC3"/>
    <w:rsid w:val="569263A6"/>
    <w:rsid w:val="5784687B"/>
    <w:rsid w:val="57846959"/>
    <w:rsid w:val="578E6A87"/>
    <w:rsid w:val="57D93AD0"/>
    <w:rsid w:val="58AA3C3D"/>
    <w:rsid w:val="58E94768"/>
    <w:rsid w:val="592725D2"/>
    <w:rsid w:val="59344844"/>
    <w:rsid w:val="5A511FBC"/>
    <w:rsid w:val="5AC2203A"/>
    <w:rsid w:val="5B3F4025"/>
    <w:rsid w:val="5BD63CB4"/>
    <w:rsid w:val="5BFA7DB8"/>
    <w:rsid w:val="5C0C10E6"/>
    <w:rsid w:val="5C4E7EEB"/>
    <w:rsid w:val="5C6D4A3A"/>
    <w:rsid w:val="5CBB3334"/>
    <w:rsid w:val="5CC8210E"/>
    <w:rsid w:val="5D115FAF"/>
    <w:rsid w:val="5E2219B7"/>
    <w:rsid w:val="5E341EF9"/>
    <w:rsid w:val="5F317A83"/>
    <w:rsid w:val="5FFE0A32"/>
    <w:rsid w:val="616D2BCC"/>
    <w:rsid w:val="62811722"/>
    <w:rsid w:val="62A179CE"/>
    <w:rsid w:val="62CF6D45"/>
    <w:rsid w:val="62E75A72"/>
    <w:rsid w:val="630620D2"/>
    <w:rsid w:val="63C61960"/>
    <w:rsid w:val="64117B49"/>
    <w:rsid w:val="64571880"/>
    <w:rsid w:val="648C4D37"/>
    <w:rsid w:val="649125B6"/>
    <w:rsid w:val="652F4C1A"/>
    <w:rsid w:val="65A171A5"/>
    <w:rsid w:val="666D37F1"/>
    <w:rsid w:val="666E4EE0"/>
    <w:rsid w:val="67087D8F"/>
    <w:rsid w:val="671F687E"/>
    <w:rsid w:val="67914675"/>
    <w:rsid w:val="67F415F8"/>
    <w:rsid w:val="682640D1"/>
    <w:rsid w:val="684B73E5"/>
    <w:rsid w:val="68E71E2B"/>
    <w:rsid w:val="69CF6E65"/>
    <w:rsid w:val="6A047A2A"/>
    <w:rsid w:val="6AB274BA"/>
    <w:rsid w:val="6AC15900"/>
    <w:rsid w:val="6B2D2A58"/>
    <w:rsid w:val="6BAA51A3"/>
    <w:rsid w:val="6C033A90"/>
    <w:rsid w:val="6DC12A13"/>
    <w:rsid w:val="6EBC0B8C"/>
    <w:rsid w:val="6EDE74FA"/>
    <w:rsid w:val="6EFB7548"/>
    <w:rsid w:val="6F3831C3"/>
    <w:rsid w:val="6F8B71C1"/>
    <w:rsid w:val="70420D98"/>
    <w:rsid w:val="704D42CB"/>
    <w:rsid w:val="705C1D84"/>
    <w:rsid w:val="70753482"/>
    <w:rsid w:val="707B522A"/>
    <w:rsid w:val="70967C49"/>
    <w:rsid w:val="713115FA"/>
    <w:rsid w:val="7143661F"/>
    <w:rsid w:val="716F4EB5"/>
    <w:rsid w:val="726906D1"/>
    <w:rsid w:val="72EA4C70"/>
    <w:rsid w:val="73194D05"/>
    <w:rsid w:val="73A83B0E"/>
    <w:rsid w:val="744D3EF9"/>
    <w:rsid w:val="74794411"/>
    <w:rsid w:val="74EB6CE9"/>
    <w:rsid w:val="75867C40"/>
    <w:rsid w:val="75B10B26"/>
    <w:rsid w:val="76091997"/>
    <w:rsid w:val="76432199"/>
    <w:rsid w:val="769C7AB2"/>
    <w:rsid w:val="769E43E0"/>
    <w:rsid w:val="76A809C4"/>
    <w:rsid w:val="76F44829"/>
    <w:rsid w:val="772C246B"/>
    <w:rsid w:val="77A267C0"/>
    <w:rsid w:val="78882278"/>
    <w:rsid w:val="78B118A6"/>
    <w:rsid w:val="78FD0CF8"/>
    <w:rsid w:val="79135044"/>
    <w:rsid w:val="7A7D0F99"/>
    <w:rsid w:val="7AB5328D"/>
    <w:rsid w:val="7B871E59"/>
    <w:rsid w:val="7BEE56A8"/>
    <w:rsid w:val="7D611E05"/>
    <w:rsid w:val="7DAE6CDD"/>
    <w:rsid w:val="7DD24B35"/>
    <w:rsid w:val="7E4A0E7C"/>
    <w:rsid w:val="7EFD449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FollowedHyperlink"/>
    <w:unhideWhenUsed/>
    <w:qFormat/>
    <w:uiPriority w:val="99"/>
    <w:rPr>
      <w:color w:val="800080"/>
      <w:u w:val="single"/>
    </w:rPr>
  </w:style>
  <w:style w:type="character" w:styleId="9">
    <w:name w:val="Hyperlink"/>
    <w:unhideWhenUsed/>
    <w:qFormat/>
    <w:uiPriority w:val="99"/>
    <w:rPr>
      <w:color w:val="0000FF"/>
      <w:u w:val="single"/>
    </w:rPr>
  </w:style>
  <w:style w:type="character" w:customStyle="1" w:styleId="10">
    <w:name w:val="font11"/>
    <w:basedOn w:val="7"/>
    <w:qFormat/>
    <w:uiPriority w:val="0"/>
    <w:rPr>
      <w:rFonts w:hint="eastAsia" w:ascii="宋体" w:hAnsi="宋体" w:eastAsia="宋体" w:cs="宋体"/>
      <w:color w:val="000000"/>
      <w:sz w:val="20"/>
      <w:szCs w:val="20"/>
      <w:u w:val="none"/>
    </w:rPr>
  </w:style>
  <w:style w:type="character" w:customStyle="1" w:styleId="11">
    <w:name w:val="font41"/>
    <w:basedOn w:val="7"/>
    <w:qFormat/>
    <w:uiPriority w:val="0"/>
    <w:rPr>
      <w:rFonts w:hint="eastAsia" w:ascii="宋体" w:hAnsi="宋体" w:eastAsia="宋体" w:cs="宋体"/>
      <w:color w:val="000000"/>
      <w:sz w:val="24"/>
      <w:szCs w:val="24"/>
      <w:u w:val="none"/>
    </w:rPr>
  </w:style>
  <w:style w:type="character" w:customStyle="1" w:styleId="12">
    <w:name w:val="font21"/>
    <w:basedOn w:val="7"/>
    <w:qFormat/>
    <w:uiPriority w:val="0"/>
    <w:rPr>
      <w:rFonts w:hint="eastAsia" w:ascii="宋体" w:hAnsi="宋体" w:eastAsia="宋体" w:cs="宋体"/>
      <w:color w:val="000000"/>
      <w:sz w:val="22"/>
      <w:szCs w:val="22"/>
      <w:u w:val="none"/>
    </w:rPr>
  </w:style>
  <w:style w:type="character" w:customStyle="1" w:styleId="13">
    <w:name w:val="页脚 Char"/>
    <w:link w:val="3"/>
    <w:qFormat/>
    <w:uiPriority w:val="99"/>
    <w:rPr>
      <w:kern w:val="2"/>
      <w:sz w:val="18"/>
      <w:szCs w:val="18"/>
    </w:rPr>
  </w:style>
  <w:style w:type="character" w:customStyle="1" w:styleId="14">
    <w:name w:val="font51"/>
    <w:basedOn w:val="7"/>
    <w:qFormat/>
    <w:uiPriority w:val="0"/>
    <w:rPr>
      <w:rFonts w:hint="eastAsia" w:ascii="宋体" w:hAnsi="宋体" w:eastAsia="宋体" w:cs="宋体"/>
      <w:color w:val="000000"/>
      <w:sz w:val="24"/>
      <w:szCs w:val="24"/>
      <w:u w:val="none"/>
    </w:rPr>
  </w:style>
  <w:style w:type="character" w:customStyle="1" w:styleId="15">
    <w:name w:val="批注框文本 Char"/>
    <w:basedOn w:val="7"/>
    <w:link w:val="2"/>
    <w:semiHidden/>
    <w:qFormat/>
    <w:uiPriority w:val="99"/>
    <w:rPr>
      <w:kern w:val="2"/>
      <w:sz w:val="18"/>
      <w:szCs w:val="18"/>
    </w:rPr>
  </w:style>
  <w:style w:type="character" w:customStyle="1" w:styleId="16">
    <w:name w:val="font01"/>
    <w:basedOn w:val="7"/>
    <w:qFormat/>
    <w:uiPriority w:val="0"/>
    <w:rPr>
      <w:rFonts w:hint="eastAsia" w:ascii="宋体" w:hAnsi="宋体" w:eastAsia="宋体" w:cs="宋体"/>
      <w:color w:val="000000"/>
      <w:sz w:val="22"/>
      <w:szCs w:val="22"/>
      <w:u w:val="none"/>
    </w:rPr>
  </w:style>
  <w:style w:type="character" w:customStyle="1" w:styleId="17">
    <w:name w:val="页眉 Char"/>
    <w:link w:val="4"/>
    <w:qFormat/>
    <w:uiPriority w:val="99"/>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 User</Company>
  <Pages>33</Pages>
  <Words>1718</Words>
  <Characters>9793</Characters>
  <Lines>81</Lines>
  <Paragraphs>22</Paragraphs>
  <TotalTime>1</TotalTime>
  <ScaleCrop>false</ScaleCrop>
  <LinksUpToDate>false</LinksUpToDate>
  <CharactersWithSpaces>11489</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2007-11-29T03:41:00Z</dcterms:created>
  <dc:creator>管理者</dc:creator>
  <cp:lastModifiedBy>Administrator</cp:lastModifiedBy>
  <cp:lastPrinted>2018-07-24T10:50:00Z</cp:lastPrinted>
  <dcterms:modified xsi:type="dcterms:W3CDTF">2021-06-11T11:02:04Z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4771E93EE33345B7980A28EE41B8B72D</vt:lpwstr>
  </property>
</Properties>
</file>