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黑体" w:hAnsi="黑体" w:eastAsia="黑体" w:cs="黑体"/>
          <w:color w:val="auto"/>
          <w:sz w:val="44"/>
          <w:szCs w:val="44"/>
          <w:highlight w:val="none"/>
          <w:lang w:eastAsia="zh-CN"/>
        </w:rPr>
      </w:pPr>
      <w:r>
        <w:rPr>
          <w:rFonts w:hint="eastAsia" w:ascii="黑体" w:hAnsi="黑体" w:eastAsia="黑体" w:cs="黑体"/>
          <w:color w:val="auto"/>
          <w:sz w:val="44"/>
          <w:szCs w:val="44"/>
          <w:highlight w:val="none"/>
          <w:lang w:eastAsia="zh-CN"/>
        </w:rPr>
        <w:t>周口市淮阳区机关事务管理局</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黑体" w:hAnsi="黑体" w:eastAsia="黑体" w:cs="黑体"/>
          <w:color w:val="auto"/>
          <w:sz w:val="44"/>
          <w:szCs w:val="44"/>
          <w:highlight w:val="none"/>
        </w:rPr>
      </w:pPr>
      <w:r>
        <w:rPr>
          <w:rFonts w:hint="eastAsia" w:ascii="黑体" w:hAnsi="黑体" w:eastAsia="黑体" w:cs="黑体"/>
          <w:color w:val="auto"/>
          <w:sz w:val="44"/>
          <w:szCs w:val="44"/>
          <w:highlight w:val="none"/>
          <w:lang w:eastAsia="zh-CN"/>
        </w:rPr>
        <w:t>201</w:t>
      </w:r>
      <w:r>
        <w:rPr>
          <w:rFonts w:hint="eastAsia" w:ascii="黑体" w:hAnsi="黑体" w:eastAsia="黑体" w:cs="黑体"/>
          <w:color w:val="auto"/>
          <w:sz w:val="44"/>
          <w:szCs w:val="44"/>
          <w:highlight w:val="none"/>
          <w:lang w:val="en-US" w:eastAsia="zh-CN"/>
        </w:rPr>
        <w:t>9</w:t>
      </w:r>
      <w:r>
        <w:rPr>
          <w:rFonts w:hint="eastAsia" w:ascii="黑体" w:hAnsi="黑体" w:eastAsia="黑体" w:cs="黑体"/>
          <w:color w:val="auto"/>
          <w:sz w:val="44"/>
          <w:szCs w:val="44"/>
          <w:highlight w:val="none"/>
          <w:lang w:eastAsia="zh-CN"/>
        </w:rPr>
        <w:t>年度</w:t>
      </w:r>
      <w:r>
        <w:rPr>
          <w:rFonts w:hint="eastAsia" w:ascii="黑体" w:hAnsi="黑体" w:eastAsia="黑体" w:cs="黑体"/>
          <w:color w:val="auto"/>
          <w:sz w:val="44"/>
          <w:szCs w:val="44"/>
          <w:highlight w:val="none"/>
        </w:rPr>
        <w:t>部门决算</w:t>
      </w:r>
    </w:p>
    <w:p>
      <w:pPr>
        <w:jc w:val="center"/>
        <w:rPr>
          <w:rFonts w:hint="eastAsia" w:ascii="黑体" w:hAnsi="黑体" w:eastAsia="黑体" w:cs="黑体"/>
          <w:color w:val="auto"/>
          <w:sz w:val="44"/>
          <w:szCs w:val="44"/>
          <w:highlight w:val="none"/>
        </w:rPr>
      </w:pPr>
    </w:p>
    <w:p>
      <w:pPr>
        <w:jc w:val="center"/>
        <w:rPr>
          <w:rFonts w:hint="eastAsia" w:ascii="黑体" w:hAnsi="黑体" w:eastAsia="黑体" w:cs="黑体"/>
          <w:color w:val="auto"/>
          <w:sz w:val="52"/>
          <w:szCs w:val="52"/>
          <w:highlight w:val="none"/>
        </w:rPr>
      </w:pPr>
    </w:p>
    <w:p>
      <w:pPr>
        <w:jc w:val="center"/>
        <w:rPr>
          <w:rFonts w:hint="eastAsia" w:ascii="黑体" w:hAnsi="黑体" w:eastAsia="黑体" w:cs="黑体"/>
          <w:color w:val="auto"/>
          <w:sz w:val="52"/>
          <w:szCs w:val="52"/>
          <w:highlight w:val="none"/>
        </w:rPr>
      </w:pPr>
    </w:p>
    <w:p>
      <w:pPr>
        <w:jc w:val="center"/>
        <w:rPr>
          <w:rFonts w:hint="eastAsia" w:ascii="黑体" w:hAnsi="黑体" w:eastAsia="黑体" w:cs="黑体"/>
          <w:color w:val="auto"/>
          <w:sz w:val="52"/>
          <w:szCs w:val="52"/>
          <w:highlight w:val="none"/>
        </w:rPr>
      </w:pPr>
    </w:p>
    <w:p>
      <w:pPr>
        <w:jc w:val="center"/>
        <w:rPr>
          <w:rFonts w:hint="eastAsia" w:ascii="黑体" w:hAnsi="黑体" w:eastAsia="黑体" w:cs="黑体"/>
          <w:color w:val="auto"/>
          <w:sz w:val="52"/>
          <w:szCs w:val="52"/>
          <w:highlight w:val="none"/>
        </w:rPr>
      </w:pPr>
    </w:p>
    <w:p>
      <w:pPr>
        <w:jc w:val="center"/>
        <w:rPr>
          <w:rFonts w:hint="eastAsia" w:ascii="黑体" w:hAnsi="黑体" w:eastAsia="黑体" w:cs="黑体"/>
          <w:color w:val="auto"/>
          <w:sz w:val="52"/>
          <w:szCs w:val="52"/>
          <w:highlight w:val="none"/>
        </w:rPr>
      </w:pPr>
    </w:p>
    <w:p>
      <w:pPr>
        <w:jc w:val="center"/>
        <w:rPr>
          <w:rFonts w:hint="eastAsia" w:ascii="黑体" w:hAnsi="黑体" w:eastAsia="黑体" w:cs="黑体"/>
          <w:color w:val="auto"/>
          <w:sz w:val="32"/>
          <w:szCs w:val="32"/>
          <w:highlight w:val="none"/>
          <w:lang w:eastAsia="zh-CN"/>
        </w:rPr>
        <w:sectPr>
          <w:pgSz w:w="11906" w:h="16838"/>
          <w:pgMar w:top="1440" w:right="1531" w:bottom="1440" w:left="1587" w:header="850" w:footer="992" w:gutter="0"/>
          <w:pgNumType w:fmt="numberInDash"/>
          <w:cols w:space="720" w:num="1"/>
          <w:rtlGutter w:val="0"/>
          <w:docGrid w:type="lines" w:linePitch="317" w:charSpace="0"/>
        </w:sectPr>
      </w:pPr>
      <w:r>
        <w:rPr>
          <w:rFonts w:hint="eastAsia" w:ascii="黑体" w:hAnsi="黑体" w:eastAsia="黑体" w:cs="黑体"/>
          <w:color w:val="auto"/>
          <w:sz w:val="32"/>
          <w:szCs w:val="32"/>
          <w:highlight w:val="none"/>
          <w:lang w:eastAsia="zh-CN"/>
        </w:rPr>
        <w:t>二〇二〇年九月</w:t>
      </w:r>
    </w:p>
    <w:p>
      <w:pPr>
        <w:jc w:val="center"/>
        <w:rPr>
          <w:rFonts w:ascii="黑体" w:hAnsi="黑体" w:eastAsia="黑体" w:cs="黑体"/>
          <w:color w:val="auto"/>
          <w:sz w:val="36"/>
          <w:szCs w:val="36"/>
          <w:highlight w:val="none"/>
        </w:rPr>
      </w:pPr>
      <w:r>
        <w:rPr>
          <w:rFonts w:hint="eastAsia" w:ascii="黑体" w:hAnsi="黑体" w:eastAsia="黑体" w:cs="黑体"/>
          <w:color w:val="auto"/>
          <w:sz w:val="36"/>
          <w:szCs w:val="36"/>
          <w:highlight w:val="none"/>
        </w:rPr>
        <w:t>目　　录</w:t>
      </w:r>
    </w:p>
    <w:p>
      <w:pPr>
        <w:jc w:val="left"/>
        <w:rPr>
          <w:rFonts w:ascii="黑体" w:hAnsi="黑体" w:eastAsia="黑体" w:cs="黑体"/>
          <w:color w:val="auto"/>
          <w:sz w:val="32"/>
          <w:szCs w:val="32"/>
          <w:highlight w:val="none"/>
        </w:rPr>
      </w:pPr>
      <w:r>
        <w:rPr>
          <w:rFonts w:hint="eastAsia" w:ascii="黑体" w:hAnsi="黑体" w:eastAsia="黑体" w:cs="黑体"/>
          <w:color w:val="auto"/>
          <w:sz w:val="32"/>
          <w:szCs w:val="32"/>
          <w:highlight w:val="none"/>
        </w:rPr>
        <w:t>第一部分　　</w:t>
      </w:r>
      <w:r>
        <w:rPr>
          <w:rFonts w:hint="eastAsia" w:ascii="黑体" w:hAnsi="黑体" w:eastAsia="黑体" w:cs="黑体"/>
          <w:color w:val="auto"/>
          <w:sz w:val="32"/>
          <w:szCs w:val="32"/>
          <w:highlight w:val="none"/>
          <w:lang w:eastAsia="zh-CN"/>
        </w:rPr>
        <w:t>淮阳区机关事务管理局</w:t>
      </w:r>
      <w:r>
        <w:rPr>
          <w:rFonts w:hint="eastAsia" w:ascii="黑体" w:hAnsi="黑体" w:eastAsia="黑体" w:cs="黑体"/>
          <w:color w:val="auto"/>
          <w:sz w:val="32"/>
          <w:szCs w:val="32"/>
          <w:highlight w:val="none"/>
        </w:rPr>
        <w:t>概况</w:t>
      </w:r>
    </w:p>
    <w:p>
      <w:pPr>
        <w:numPr>
          <w:ilvl w:val="0"/>
          <w:numId w:val="1"/>
        </w:num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lang w:eastAsia="zh-CN"/>
        </w:rPr>
        <w:t>部门职责</w:t>
      </w:r>
    </w:p>
    <w:p>
      <w:pPr>
        <w:numPr>
          <w:ilvl w:val="0"/>
          <w:numId w:val="1"/>
        </w:num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lang w:eastAsia="zh-CN"/>
        </w:rPr>
        <w:t>机构设置</w:t>
      </w:r>
    </w:p>
    <w:p>
      <w:pPr>
        <w:jc w:val="left"/>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第</w:t>
      </w:r>
      <w:r>
        <w:rPr>
          <w:rFonts w:hint="eastAsia" w:ascii="黑体" w:hAnsi="黑体" w:eastAsia="黑体" w:cs="黑体"/>
          <w:color w:val="auto"/>
          <w:sz w:val="32"/>
          <w:szCs w:val="32"/>
          <w:highlight w:val="none"/>
          <w:lang w:eastAsia="zh-CN"/>
        </w:rPr>
        <w:t>二</w:t>
      </w:r>
      <w:r>
        <w:rPr>
          <w:rFonts w:hint="eastAsia" w:ascii="黑体" w:hAnsi="黑体" w:eastAsia="黑体" w:cs="黑体"/>
          <w:color w:val="auto"/>
          <w:sz w:val="32"/>
          <w:szCs w:val="32"/>
          <w:highlight w:val="none"/>
        </w:rPr>
        <w:t>部分　　</w:t>
      </w:r>
      <w:r>
        <w:rPr>
          <w:rFonts w:hint="eastAsia" w:ascii="黑体" w:hAnsi="黑体" w:eastAsia="黑体" w:cs="黑体"/>
          <w:color w:val="auto"/>
          <w:sz w:val="32"/>
          <w:szCs w:val="32"/>
          <w:highlight w:val="none"/>
          <w:lang w:eastAsia="zh-CN"/>
        </w:rPr>
        <w:t>201</w:t>
      </w:r>
      <w:r>
        <w:rPr>
          <w:rFonts w:hint="eastAsia" w:ascii="黑体" w:hAnsi="黑体" w:eastAsia="黑体" w:cs="黑体"/>
          <w:color w:val="auto"/>
          <w:sz w:val="32"/>
          <w:szCs w:val="32"/>
          <w:highlight w:val="none"/>
          <w:lang w:val="en-US" w:eastAsia="zh-CN"/>
        </w:rPr>
        <w:t>9</w:t>
      </w:r>
      <w:r>
        <w:rPr>
          <w:rFonts w:hint="eastAsia" w:ascii="黑体" w:hAnsi="黑体" w:eastAsia="黑体" w:cs="黑体"/>
          <w:color w:val="auto"/>
          <w:sz w:val="32"/>
          <w:szCs w:val="32"/>
          <w:highlight w:val="none"/>
          <w:lang w:eastAsia="zh-CN"/>
        </w:rPr>
        <w:t>年度</w:t>
      </w:r>
      <w:r>
        <w:rPr>
          <w:rFonts w:hint="eastAsia" w:ascii="黑体" w:hAnsi="黑体" w:eastAsia="黑体" w:cs="黑体"/>
          <w:color w:val="auto"/>
          <w:sz w:val="32"/>
          <w:szCs w:val="32"/>
          <w:highlight w:val="none"/>
        </w:rPr>
        <w:t>部门决算表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一、收入支出决算总表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二、收入决算表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三、支出决算表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四、财政拨款收入支出决算总表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五、一般公共预算财政拨款支出决算表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六、一般公共预算财政拨款基本支出决算表</w:t>
      </w:r>
    </w:p>
    <w:p>
      <w:pPr>
        <w:ind w:firstLine="640" w:firstLineChars="200"/>
        <w:jc w:val="left"/>
        <w:rPr>
          <w:rFonts w:ascii="宋体" w:hAnsi="宋体" w:eastAsia="宋体" w:cs="宋体"/>
          <w:color w:val="auto"/>
          <w:sz w:val="32"/>
          <w:szCs w:val="32"/>
          <w:highlight w:val="none"/>
        </w:rPr>
      </w:pPr>
      <w:r>
        <w:rPr>
          <w:rFonts w:hint="eastAsia" w:ascii="宋体" w:hAnsi="宋体" w:eastAsia="宋体" w:cs="宋体"/>
          <w:color w:val="auto"/>
          <w:sz w:val="32"/>
          <w:szCs w:val="32"/>
          <w:highlight w:val="none"/>
        </w:rPr>
        <w:t>七、一般公共预算财政拨款“三公”经费支出决算表</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八、政府性基金预算财政拨款收入支出决算表</w:t>
      </w:r>
    </w:p>
    <w:p>
      <w:pPr>
        <w:jc w:val="left"/>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第</w:t>
      </w:r>
      <w:r>
        <w:rPr>
          <w:rFonts w:hint="eastAsia" w:ascii="黑体" w:hAnsi="黑体" w:eastAsia="黑体" w:cs="黑体"/>
          <w:color w:val="auto"/>
          <w:sz w:val="32"/>
          <w:szCs w:val="32"/>
          <w:highlight w:val="none"/>
          <w:lang w:eastAsia="zh-CN"/>
        </w:rPr>
        <w:t>三</w:t>
      </w:r>
      <w:r>
        <w:rPr>
          <w:rFonts w:hint="eastAsia" w:ascii="黑体" w:hAnsi="黑体" w:eastAsia="黑体" w:cs="黑体"/>
          <w:color w:val="auto"/>
          <w:sz w:val="32"/>
          <w:szCs w:val="32"/>
          <w:highlight w:val="none"/>
        </w:rPr>
        <w:t>部分　　</w:t>
      </w:r>
      <w:r>
        <w:rPr>
          <w:rFonts w:hint="eastAsia" w:ascii="黑体" w:hAnsi="黑体" w:eastAsia="黑体" w:cs="黑体"/>
          <w:color w:val="auto"/>
          <w:sz w:val="32"/>
          <w:szCs w:val="32"/>
          <w:highlight w:val="none"/>
          <w:lang w:eastAsia="zh-CN"/>
        </w:rPr>
        <w:t>201</w:t>
      </w:r>
      <w:r>
        <w:rPr>
          <w:rFonts w:hint="eastAsia" w:ascii="黑体" w:hAnsi="黑体" w:eastAsia="黑体" w:cs="黑体"/>
          <w:color w:val="auto"/>
          <w:sz w:val="32"/>
          <w:szCs w:val="32"/>
          <w:highlight w:val="none"/>
          <w:lang w:val="en-US" w:eastAsia="zh-CN"/>
        </w:rPr>
        <w:t>9</w:t>
      </w:r>
      <w:r>
        <w:rPr>
          <w:rFonts w:hint="eastAsia" w:ascii="黑体" w:hAnsi="黑体" w:eastAsia="黑体" w:cs="黑体"/>
          <w:color w:val="auto"/>
          <w:sz w:val="32"/>
          <w:szCs w:val="32"/>
          <w:highlight w:val="none"/>
          <w:lang w:eastAsia="zh-CN"/>
        </w:rPr>
        <w:t>年度</w:t>
      </w:r>
      <w:r>
        <w:rPr>
          <w:rFonts w:hint="eastAsia" w:ascii="黑体" w:hAnsi="黑体" w:eastAsia="黑体" w:cs="黑体"/>
          <w:color w:val="auto"/>
          <w:sz w:val="32"/>
          <w:szCs w:val="32"/>
          <w:highlight w:val="none"/>
        </w:rPr>
        <w:t>部门决算情况说明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一、收入支出决算总体情况说明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二、收入决算情况说明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三、支出决算情况说明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四、财政拨款收入支出决算总体情况说明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五、一般公共预算财政拨款支出决算情况说明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六、一般公共预算财政拨款基本支出决算情况说明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七、一般公共预算财政拨款“三公”经费支出决算情况说明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八、预算绩效情况说明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九、政府性基金预算财政拨款支出决算情况说明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十、机关运行经费支出情况</w:t>
      </w:r>
      <w:r>
        <w:rPr>
          <w:rFonts w:hint="eastAsia" w:ascii="宋体" w:hAnsi="宋体" w:eastAsia="宋体" w:cs="宋体"/>
          <w:color w:val="auto"/>
          <w:sz w:val="32"/>
          <w:szCs w:val="32"/>
          <w:highlight w:val="none"/>
          <w:lang w:eastAsia="zh-CN"/>
        </w:rPr>
        <w:t>说明</w:t>
      </w:r>
    </w:p>
    <w:p>
      <w:pPr>
        <w:ind w:firstLine="640" w:firstLineChars="20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eastAsia="zh-CN"/>
        </w:rPr>
        <w:t>十一、</w:t>
      </w:r>
      <w:r>
        <w:rPr>
          <w:rFonts w:hint="eastAsia" w:ascii="宋体" w:hAnsi="宋体" w:eastAsia="宋体" w:cs="宋体"/>
          <w:color w:val="auto"/>
          <w:sz w:val="32"/>
          <w:szCs w:val="32"/>
          <w:highlight w:val="none"/>
        </w:rPr>
        <w:t>政府采购支出情况</w:t>
      </w:r>
      <w:r>
        <w:rPr>
          <w:rFonts w:hint="eastAsia" w:ascii="宋体" w:hAnsi="宋体" w:eastAsia="宋体" w:cs="宋体"/>
          <w:color w:val="auto"/>
          <w:sz w:val="32"/>
          <w:szCs w:val="32"/>
          <w:highlight w:val="none"/>
          <w:lang w:eastAsia="zh-CN"/>
        </w:rPr>
        <w:t>说明</w:t>
      </w:r>
    </w:p>
    <w:p>
      <w:pPr>
        <w:ind w:firstLine="640" w:firstLineChars="200"/>
        <w:jc w:val="left"/>
        <w:rPr>
          <w:rFonts w:hint="eastAsia" w:ascii="宋体" w:hAnsi="宋体" w:eastAsia="宋体" w:cs="宋体"/>
          <w:color w:val="auto"/>
          <w:sz w:val="32"/>
          <w:szCs w:val="32"/>
          <w:highlight w:val="none"/>
          <w:lang w:eastAsia="zh-CN"/>
        </w:rPr>
      </w:pPr>
      <w:r>
        <w:rPr>
          <w:rFonts w:hint="eastAsia" w:ascii="宋体" w:hAnsi="宋体" w:eastAsia="宋体" w:cs="宋体"/>
          <w:color w:val="auto"/>
          <w:sz w:val="32"/>
          <w:szCs w:val="32"/>
          <w:highlight w:val="none"/>
          <w:lang w:eastAsia="zh-CN"/>
        </w:rPr>
        <w:t>十二、国有资产占用情况说明</w:t>
      </w:r>
    </w:p>
    <w:p>
      <w:pPr>
        <w:jc w:val="left"/>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第</w:t>
      </w:r>
      <w:r>
        <w:rPr>
          <w:rFonts w:hint="eastAsia" w:ascii="黑体" w:hAnsi="黑体" w:eastAsia="黑体" w:cs="黑体"/>
          <w:color w:val="auto"/>
          <w:sz w:val="32"/>
          <w:szCs w:val="32"/>
          <w:highlight w:val="none"/>
          <w:lang w:eastAsia="zh-CN"/>
        </w:rPr>
        <w:t>四</w:t>
      </w:r>
      <w:r>
        <w:rPr>
          <w:rFonts w:hint="eastAsia" w:ascii="黑体" w:hAnsi="黑体" w:eastAsia="黑体" w:cs="黑体"/>
          <w:color w:val="auto"/>
          <w:sz w:val="32"/>
          <w:szCs w:val="32"/>
          <w:highlight w:val="none"/>
        </w:rPr>
        <w:t>部分　　名词解释</w:t>
      </w: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center"/>
        <w:outlineLvl w:val="0"/>
        <w:rPr>
          <w:rFonts w:hint="eastAsia" w:ascii="黑体" w:hAnsi="黑体" w:eastAsia="黑体" w:cs="黑体"/>
          <w:color w:val="auto"/>
          <w:sz w:val="48"/>
          <w:szCs w:val="48"/>
          <w:highlight w:val="none"/>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numPr>
          <w:ilvl w:val="0"/>
          <w:numId w:val="2"/>
        </w:numPr>
        <w:jc w:val="center"/>
        <w:outlineLvl w:val="0"/>
        <w:rPr>
          <w:rFonts w:hint="eastAsia" w:ascii="黑体" w:hAnsi="黑体" w:eastAsia="黑体" w:cs="黑体"/>
          <w:color w:val="auto"/>
          <w:sz w:val="48"/>
          <w:szCs w:val="48"/>
          <w:highlight w:val="none"/>
          <w:lang w:eastAsia="zh-CN"/>
        </w:rPr>
      </w:pPr>
      <w:r>
        <w:rPr>
          <w:rFonts w:hint="eastAsia" w:ascii="黑体" w:hAnsi="黑体" w:eastAsia="黑体" w:cs="黑体"/>
          <w:color w:val="auto"/>
          <w:sz w:val="48"/>
          <w:szCs w:val="48"/>
          <w:highlight w:val="none"/>
          <w:lang w:val="en-US" w:eastAsia="zh-CN"/>
        </w:rPr>
        <w:t xml:space="preserve"> 周口市</w:t>
      </w:r>
      <w:r>
        <w:rPr>
          <w:rFonts w:hint="eastAsia" w:ascii="黑体" w:hAnsi="黑体" w:eastAsia="黑体" w:cs="黑体"/>
          <w:color w:val="auto"/>
          <w:sz w:val="48"/>
          <w:szCs w:val="48"/>
          <w:highlight w:val="none"/>
          <w:lang w:eastAsia="zh-CN"/>
        </w:rPr>
        <w:t>淮阳区机关事务</w:t>
      </w:r>
    </w:p>
    <w:p>
      <w:pPr>
        <w:widowControl/>
        <w:numPr>
          <w:ilvl w:val="0"/>
          <w:numId w:val="0"/>
        </w:numPr>
        <w:jc w:val="center"/>
        <w:outlineLvl w:val="0"/>
        <w:rPr>
          <w:rFonts w:hint="eastAsia" w:ascii="黑体" w:hAnsi="宋体" w:eastAsia="黑体" w:cs="宋体"/>
          <w:color w:val="auto"/>
          <w:kern w:val="0"/>
          <w:sz w:val="28"/>
          <w:szCs w:val="28"/>
          <w:highlight w:val="none"/>
          <w:lang w:val="en-US" w:eastAsia="zh-CN"/>
        </w:rPr>
      </w:pPr>
      <w:r>
        <w:rPr>
          <w:rFonts w:hint="eastAsia" w:ascii="黑体" w:hAnsi="黑体" w:eastAsia="黑体" w:cs="黑体"/>
          <w:color w:val="auto"/>
          <w:sz w:val="48"/>
          <w:szCs w:val="48"/>
          <w:highlight w:val="none"/>
          <w:lang w:val="en-US" w:eastAsia="zh-CN"/>
        </w:rPr>
        <w:t xml:space="preserve">      </w:t>
      </w:r>
      <w:r>
        <w:rPr>
          <w:rFonts w:hint="eastAsia" w:ascii="黑体" w:hAnsi="黑体" w:eastAsia="黑体" w:cs="黑体"/>
          <w:color w:val="auto"/>
          <w:sz w:val="48"/>
          <w:szCs w:val="48"/>
          <w:highlight w:val="none"/>
          <w:lang w:eastAsia="zh-CN"/>
        </w:rPr>
        <w:t>管理局</w:t>
      </w:r>
      <w:r>
        <w:rPr>
          <w:rFonts w:hint="eastAsia" w:ascii="黑体" w:hAnsi="黑体" w:eastAsia="黑体" w:cs="黑体"/>
          <w:color w:val="auto"/>
          <w:sz w:val="48"/>
          <w:szCs w:val="48"/>
          <w:highlight w:val="none"/>
        </w:rPr>
        <w:t>概况</w:t>
      </w: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sectPr>
          <w:pgSz w:w="11906" w:h="16838"/>
          <w:pgMar w:top="1440" w:right="1800" w:bottom="1440" w:left="1800" w:header="720" w:footer="720" w:gutter="0"/>
          <w:pgNumType w:fmt="numberInDash"/>
          <w:cols w:space="720" w:num="1"/>
          <w:docGrid w:type="lines" w:linePitch="312" w:charSpace="0"/>
        </w:sectPr>
      </w:pPr>
    </w:p>
    <w:p>
      <w:pPr>
        <w:widowControl/>
        <w:ind w:firstLine="640" w:firstLineChars="200"/>
        <w:jc w:val="left"/>
        <w:outlineLvl w:val="1"/>
        <w:rPr>
          <w:rFonts w:hint="eastAsia" w:ascii="黑体" w:hAnsi="黑体" w:eastAsia="黑体" w:cs="黑体"/>
          <w:color w:val="auto"/>
          <w:kern w:val="0"/>
          <w:sz w:val="32"/>
          <w:szCs w:val="32"/>
          <w:highlight w:val="none"/>
          <w:lang w:val="en-US" w:eastAsia="zh-CN"/>
        </w:rPr>
      </w:pPr>
      <w:r>
        <w:rPr>
          <w:rFonts w:hint="eastAsia" w:ascii="黑体" w:hAnsi="黑体" w:eastAsia="黑体" w:cs="黑体"/>
          <w:color w:val="auto"/>
          <w:kern w:val="0"/>
          <w:sz w:val="32"/>
          <w:szCs w:val="32"/>
          <w:highlight w:val="none"/>
          <w:lang w:val="en-US" w:eastAsia="zh-CN"/>
        </w:rPr>
        <w:t>一、部门</w:t>
      </w:r>
      <w:r>
        <w:rPr>
          <w:rFonts w:hint="eastAsia" w:ascii="黑体" w:hAnsi="黑体" w:eastAsia="黑体" w:cs="黑体"/>
          <w:bCs/>
          <w:sz w:val="32"/>
          <w:szCs w:val="32"/>
        </w:rPr>
        <w:t>职责</w:t>
      </w:r>
    </w:p>
    <w:p>
      <w:pPr>
        <w:widowControl/>
        <w:ind w:firstLine="640" w:firstLineChars="200"/>
        <w:jc w:val="left"/>
        <w:rPr>
          <w:rFonts w:hint="eastAsia" w:ascii="仿宋_GB2312" w:eastAsia="仿宋_GB2312"/>
          <w:color w:val="000000"/>
          <w:sz w:val="32"/>
          <w:szCs w:val="32"/>
        </w:rPr>
      </w:pPr>
      <w:r>
        <w:rPr>
          <w:rFonts w:hint="eastAsia" w:ascii="仿宋_GB2312" w:eastAsia="仿宋_GB2312"/>
          <w:color w:val="000000"/>
          <w:sz w:val="32"/>
          <w:szCs w:val="32"/>
        </w:rPr>
        <w:t>1、办公室：负责局机关人事、文秘、机要、档案等日常工作运转；负责信息、保密、信访、接待、政务公开、督察督办、综合性会议组织；负责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直机关单位安全保卫、消防工作；负责拟定</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直机关后勤改革与发展规划、措施和办法并组织实施；负责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委、</w:t>
      </w:r>
      <w:r>
        <w:rPr>
          <w:rFonts w:hint="eastAsia" w:ascii="仿宋_GB2312" w:eastAsia="仿宋_GB2312"/>
          <w:color w:val="000000"/>
          <w:sz w:val="32"/>
          <w:szCs w:val="32"/>
          <w:lang w:eastAsia="zh-CN"/>
        </w:rPr>
        <w:t>区</w:t>
      </w:r>
      <w:r>
        <w:rPr>
          <w:rFonts w:hint="eastAsia" w:ascii="仿宋_GB2312" w:eastAsia="仿宋_GB2312"/>
          <w:color w:val="000000"/>
          <w:sz w:val="32"/>
          <w:szCs w:val="32"/>
        </w:rPr>
        <w:t>政府、</w:t>
      </w:r>
      <w:r>
        <w:rPr>
          <w:rFonts w:hint="eastAsia" w:ascii="仿宋_GB2312" w:eastAsia="仿宋_GB2312"/>
          <w:color w:val="000000"/>
          <w:sz w:val="32"/>
          <w:szCs w:val="32"/>
          <w:lang w:eastAsia="zh-CN"/>
        </w:rPr>
        <w:t>区</w:t>
      </w:r>
      <w:r>
        <w:rPr>
          <w:rFonts w:hint="eastAsia" w:ascii="仿宋_GB2312" w:eastAsia="仿宋_GB2312"/>
          <w:color w:val="000000"/>
          <w:sz w:val="32"/>
          <w:szCs w:val="32"/>
        </w:rPr>
        <w:t>人大、</w:t>
      </w:r>
      <w:r>
        <w:rPr>
          <w:rFonts w:hint="eastAsia" w:ascii="仿宋_GB2312" w:eastAsia="仿宋_GB2312"/>
          <w:color w:val="000000"/>
          <w:sz w:val="32"/>
          <w:szCs w:val="32"/>
          <w:lang w:eastAsia="zh-CN"/>
        </w:rPr>
        <w:t>区</w:t>
      </w:r>
      <w:r>
        <w:rPr>
          <w:rFonts w:hint="eastAsia" w:ascii="仿宋_GB2312" w:eastAsia="仿宋_GB2312"/>
          <w:color w:val="000000"/>
          <w:sz w:val="32"/>
          <w:szCs w:val="32"/>
        </w:rPr>
        <w:t>政协机关公务用车协调和</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直机关后勤服务的统筹和政策协调工作。</w:t>
      </w:r>
    </w:p>
    <w:p>
      <w:pPr>
        <w:ind w:firstLine="640" w:firstLineChars="200"/>
        <w:rPr>
          <w:rFonts w:hint="eastAsia" w:ascii="仿宋_GB2312" w:eastAsia="仿宋_GB2312"/>
          <w:color w:val="000000"/>
          <w:sz w:val="32"/>
          <w:szCs w:val="32"/>
        </w:rPr>
      </w:pPr>
      <w:r>
        <w:rPr>
          <w:rFonts w:hint="eastAsia" w:ascii="仿宋_GB2312" w:eastAsia="仿宋_GB2312"/>
          <w:color w:val="000000"/>
          <w:sz w:val="32"/>
          <w:szCs w:val="32"/>
        </w:rPr>
        <w:t>2、财务股：承担本单位的财务、国有资产管理、内部审计等工作，承担各项政策资金、专项资金监督、管理工作。</w:t>
      </w:r>
    </w:p>
    <w:p>
      <w:pPr>
        <w:rPr>
          <w:rFonts w:hint="eastAsia" w:ascii="仿宋_GB2312" w:eastAsia="仿宋_GB2312"/>
          <w:color w:val="000000"/>
          <w:sz w:val="32"/>
          <w:szCs w:val="32"/>
        </w:rPr>
      </w:pPr>
      <w:r>
        <w:rPr>
          <w:rFonts w:hint="eastAsia" w:ascii="仿宋_GB2312" w:eastAsia="仿宋_GB2312"/>
          <w:color w:val="000000"/>
          <w:sz w:val="32"/>
          <w:szCs w:val="32"/>
        </w:rPr>
        <w:t xml:space="preserve">    3、房管基建股：配合</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国资管理部门，做好</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直机关房地产产权界定、清查登记及机构合并或撤销后的房地产监管工作，协助有关部门对</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直机关事业单位办公用房、生活用地进行处置；负责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直机关办公用房登记、规划和调整工作，制定管理制度并组织实施。</w:t>
      </w:r>
    </w:p>
    <w:p>
      <w:pPr>
        <w:ind w:firstLine="640" w:firstLineChars="200"/>
        <w:rPr>
          <w:rFonts w:hint="eastAsia" w:ascii="仿宋_GB2312" w:eastAsia="仿宋_GB2312"/>
          <w:color w:val="000000"/>
          <w:sz w:val="32"/>
          <w:szCs w:val="32"/>
        </w:rPr>
      </w:pPr>
      <w:r>
        <w:rPr>
          <w:rFonts w:hint="eastAsia" w:ascii="仿宋_GB2312" w:eastAsia="仿宋_GB2312"/>
          <w:color w:val="000000"/>
          <w:sz w:val="32"/>
          <w:szCs w:val="32"/>
        </w:rPr>
        <w:t>4、机关事务股：负责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委、</w:t>
      </w:r>
      <w:r>
        <w:rPr>
          <w:rFonts w:hint="eastAsia" w:ascii="仿宋_GB2312" w:eastAsia="仿宋_GB2312"/>
          <w:color w:val="000000"/>
          <w:sz w:val="32"/>
          <w:szCs w:val="32"/>
          <w:lang w:eastAsia="zh-CN"/>
        </w:rPr>
        <w:t>区</w:t>
      </w:r>
      <w:r>
        <w:rPr>
          <w:rFonts w:hint="eastAsia" w:ascii="仿宋_GB2312" w:eastAsia="仿宋_GB2312"/>
          <w:color w:val="000000"/>
          <w:sz w:val="32"/>
          <w:szCs w:val="32"/>
        </w:rPr>
        <w:t>人大、</w:t>
      </w:r>
      <w:r>
        <w:rPr>
          <w:rFonts w:hint="eastAsia" w:ascii="仿宋_GB2312" w:eastAsia="仿宋_GB2312"/>
          <w:color w:val="000000"/>
          <w:sz w:val="32"/>
          <w:szCs w:val="32"/>
          <w:lang w:eastAsia="zh-CN"/>
        </w:rPr>
        <w:t>区</w:t>
      </w:r>
      <w:r>
        <w:rPr>
          <w:rFonts w:hint="eastAsia" w:ascii="仿宋_GB2312" w:eastAsia="仿宋_GB2312"/>
          <w:color w:val="000000"/>
          <w:sz w:val="32"/>
          <w:szCs w:val="32"/>
        </w:rPr>
        <w:t>政府、</w:t>
      </w:r>
      <w:r>
        <w:rPr>
          <w:rFonts w:hint="eastAsia" w:ascii="仿宋_GB2312" w:eastAsia="仿宋_GB2312"/>
          <w:color w:val="000000"/>
          <w:sz w:val="32"/>
          <w:szCs w:val="32"/>
          <w:lang w:eastAsia="zh-CN"/>
        </w:rPr>
        <w:t>区</w:t>
      </w:r>
      <w:r>
        <w:rPr>
          <w:rFonts w:hint="eastAsia" w:ascii="仿宋_GB2312" w:eastAsia="仿宋_GB2312"/>
          <w:color w:val="000000"/>
          <w:sz w:val="32"/>
          <w:szCs w:val="32"/>
        </w:rPr>
        <w:t>政协机关办公和生活区域内公共基础设施规划建设工作，做好绿化美化、环境卫生工作；负责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委、</w:t>
      </w:r>
      <w:r>
        <w:rPr>
          <w:rFonts w:hint="eastAsia" w:ascii="仿宋_GB2312" w:eastAsia="仿宋_GB2312"/>
          <w:color w:val="000000"/>
          <w:sz w:val="32"/>
          <w:szCs w:val="32"/>
          <w:lang w:eastAsia="zh-CN"/>
        </w:rPr>
        <w:t>区</w:t>
      </w:r>
      <w:r>
        <w:rPr>
          <w:rFonts w:hint="eastAsia" w:ascii="仿宋_GB2312" w:eastAsia="仿宋_GB2312"/>
          <w:color w:val="000000"/>
          <w:sz w:val="32"/>
          <w:szCs w:val="32"/>
        </w:rPr>
        <w:t>人大、</w:t>
      </w:r>
      <w:r>
        <w:rPr>
          <w:rFonts w:hint="eastAsia" w:ascii="仿宋_GB2312" w:eastAsia="仿宋_GB2312"/>
          <w:color w:val="000000"/>
          <w:sz w:val="32"/>
          <w:szCs w:val="32"/>
          <w:lang w:eastAsia="zh-CN"/>
        </w:rPr>
        <w:t>区</w:t>
      </w:r>
      <w:r>
        <w:rPr>
          <w:rFonts w:hint="eastAsia" w:ascii="仿宋_GB2312" w:eastAsia="仿宋_GB2312"/>
          <w:color w:val="000000"/>
          <w:sz w:val="32"/>
          <w:szCs w:val="32"/>
        </w:rPr>
        <w:t>政府、</w:t>
      </w:r>
      <w:r>
        <w:rPr>
          <w:rFonts w:hint="eastAsia" w:ascii="仿宋_GB2312" w:eastAsia="仿宋_GB2312"/>
          <w:color w:val="000000"/>
          <w:sz w:val="32"/>
          <w:szCs w:val="32"/>
          <w:lang w:eastAsia="zh-CN"/>
        </w:rPr>
        <w:t>区</w:t>
      </w:r>
      <w:r>
        <w:rPr>
          <w:rFonts w:hint="eastAsia" w:ascii="仿宋_GB2312" w:eastAsia="仿宋_GB2312"/>
          <w:color w:val="000000"/>
          <w:sz w:val="32"/>
          <w:szCs w:val="32"/>
        </w:rPr>
        <w:t>政协机关办公和生活区域内网络通讯及水、电、暖、气等设施设备协调管理工作，指导</w:t>
      </w:r>
      <w:r>
        <w:rPr>
          <w:rFonts w:hint="eastAsia" w:ascii="仿宋_GB2312" w:eastAsia="仿宋_GB2312"/>
          <w:color w:val="000000"/>
          <w:sz w:val="32"/>
          <w:szCs w:val="32"/>
          <w:lang w:eastAsia="zh-CN"/>
        </w:rPr>
        <w:t>区</w:t>
      </w:r>
      <w:r>
        <w:rPr>
          <w:rFonts w:hint="eastAsia" w:ascii="仿宋_GB2312" w:eastAsia="仿宋_GB2312"/>
          <w:color w:val="000000"/>
          <w:sz w:val="32"/>
          <w:szCs w:val="32"/>
        </w:rPr>
        <w:t>乡机关后勤事务管理工作。</w:t>
      </w:r>
    </w:p>
    <w:p>
      <w:pPr>
        <w:ind w:firstLine="640" w:firstLineChars="200"/>
        <w:rPr>
          <w:rFonts w:hint="eastAsia" w:ascii="仿宋_GB2312" w:eastAsia="仿宋_GB2312"/>
          <w:color w:val="000000"/>
          <w:sz w:val="32"/>
          <w:szCs w:val="32"/>
        </w:rPr>
      </w:pPr>
      <w:r>
        <w:rPr>
          <w:rFonts w:hint="eastAsia" w:ascii="仿宋_GB2312" w:eastAsia="仿宋_GB2312"/>
          <w:color w:val="000000"/>
          <w:sz w:val="32"/>
          <w:szCs w:val="32"/>
        </w:rPr>
        <w:t>5、节能监督工作：负责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直公共机构节能监督管理，会同有关部门制度节能规划、规章制度，并组织实施；负责推进、指导、协调和监督全</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公共机构节能工作；组织开展能耗统计、监测和评价考核工作。</w:t>
      </w:r>
    </w:p>
    <w:p>
      <w:pPr>
        <w:ind w:firstLine="640" w:firstLineChars="200"/>
        <w:rPr>
          <w:rFonts w:hint="eastAsia" w:ascii="仿宋_GB2312" w:eastAsia="仿宋_GB2312"/>
          <w:color w:val="000000"/>
          <w:sz w:val="32"/>
          <w:szCs w:val="32"/>
        </w:rPr>
      </w:pPr>
      <w:r>
        <w:rPr>
          <w:rFonts w:hint="eastAsia" w:ascii="仿宋_GB2312" w:eastAsia="仿宋_GB2312"/>
          <w:color w:val="000000"/>
          <w:sz w:val="32"/>
          <w:szCs w:val="32"/>
        </w:rPr>
        <w:t>6、车辆管理工作：负责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处级领导干部车辆管理、调配、更新、维护及司机的调整工作；负责</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直行政事业单位机关公务用车的编制、计划、配备、更新、处置工作；组织拟订车辆管理办法并监督执行；管理车辆档案；指导县乡机关汽车驾驶员的安全教育和业务培训工作。</w:t>
      </w:r>
    </w:p>
    <w:p>
      <w:pPr>
        <w:ind w:firstLine="640" w:firstLineChars="200"/>
        <w:rPr>
          <w:rFonts w:hint="eastAsia" w:ascii="仿宋_GB2312" w:hAnsi="宋体" w:eastAsia="仿宋_GB2312" w:cs="宋体"/>
          <w:kern w:val="0"/>
          <w:sz w:val="32"/>
          <w:szCs w:val="32"/>
          <w:lang w:eastAsia="zh-CN"/>
        </w:rPr>
      </w:pPr>
      <w:r>
        <w:rPr>
          <w:rFonts w:hint="eastAsia" w:ascii="仿宋_GB2312" w:eastAsia="仿宋_GB2312"/>
          <w:color w:val="000000"/>
          <w:sz w:val="32"/>
          <w:szCs w:val="32"/>
        </w:rPr>
        <w:t>7、公务接待工作：承担来淮视察指导工作的党和国家领导人，中央及国家机关及有关部门重要来宾的接待工作；承担县委、人大、政府、政协等领导机关的有关公务接待工作；负责主要领导外出公务活动的联络服务工作；负责协助和指导在我</w:t>
      </w:r>
      <w:r>
        <w:rPr>
          <w:rFonts w:hint="eastAsia" w:ascii="仿宋_GB2312" w:eastAsia="仿宋_GB2312"/>
          <w:color w:val="000000"/>
          <w:sz w:val="32"/>
          <w:szCs w:val="32"/>
          <w:lang w:eastAsia="zh-CN"/>
        </w:rPr>
        <w:t>区</w:t>
      </w:r>
      <w:r>
        <w:rPr>
          <w:rFonts w:hint="eastAsia" w:ascii="仿宋_GB2312" w:eastAsia="仿宋_GB2312"/>
          <w:color w:val="000000"/>
          <w:sz w:val="32"/>
          <w:szCs w:val="32"/>
        </w:rPr>
        <w:t>召开或举办全国、全省、全市会议或重要活动的有关接待服务工作；协助和指导</w:t>
      </w:r>
      <w:r>
        <w:rPr>
          <w:rFonts w:hint="eastAsia" w:ascii="仿宋_GB2312" w:eastAsia="仿宋_GB2312"/>
          <w:color w:val="000000"/>
          <w:sz w:val="32"/>
          <w:szCs w:val="32"/>
          <w:lang w:eastAsia="zh-CN"/>
        </w:rPr>
        <w:t>区</w:t>
      </w:r>
      <w:r>
        <w:rPr>
          <w:rFonts w:hint="eastAsia" w:ascii="仿宋_GB2312" w:eastAsia="仿宋_GB2312"/>
          <w:color w:val="000000"/>
          <w:sz w:val="32"/>
          <w:szCs w:val="32"/>
        </w:rPr>
        <w:t>直和乡镇场办的有关公务接待工作。</w:t>
      </w:r>
    </w:p>
    <w:p>
      <w:pPr>
        <w:widowControl/>
        <w:ind w:firstLine="640" w:firstLineChars="200"/>
        <w:jc w:val="left"/>
        <w:outlineLvl w:val="1"/>
        <w:rPr>
          <w:rFonts w:hint="eastAsia" w:ascii="黑体" w:hAnsi="黑体" w:eastAsia="黑体" w:cs="黑体"/>
          <w:color w:val="auto"/>
          <w:kern w:val="0"/>
          <w:sz w:val="32"/>
          <w:szCs w:val="32"/>
          <w:highlight w:val="none"/>
          <w:lang w:val="en-US" w:eastAsia="zh-CN"/>
        </w:rPr>
      </w:pPr>
      <w:r>
        <w:rPr>
          <w:rFonts w:hint="eastAsia" w:ascii="黑体" w:hAnsi="黑体" w:eastAsia="黑体" w:cs="黑体"/>
          <w:color w:val="auto"/>
          <w:kern w:val="0"/>
          <w:sz w:val="32"/>
          <w:szCs w:val="32"/>
          <w:highlight w:val="none"/>
          <w:lang w:val="en-US" w:eastAsia="zh-CN"/>
        </w:rPr>
        <w:t>二、机构设置</w:t>
      </w:r>
    </w:p>
    <w:p>
      <w:pPr>
        <w:ind w:firstLine="640" w:firstLineChars="200"/>
        <w:rPr>
          <w:rFonts w:hint="default" w:ascii="仿宋_GB2312" w:eastAsia="仿宋_GB2312"/>
          <w:color w:val="000000"/>
          <w:sz w:val="32"/>
          <w:szCs w:val="32"/>
          <w:lang w:val="en-US" w:eastAsia="zh-CN"/>
        </w:rPr>
      </w:pPr>
      <w:r>
        <w:rPr>
          <w:rFonts w:hint="eastAsia" w:ascii="仿宋_GB2312" w:eastAsia="仿宋_GB2312"/>
          <w:color w:val="000000"/>
          <w:sz w:val="32"/>
          <w:szCs w:val="32"/>
          <w:lang w:eastAsia="zh-CN"/>
        </w:rPr>
        <w:t>内设</w:t>
      </w:r>
      <w:r>
        <w:rPr>
          <w:rFonts w:hint="eastAsia" w:ascii="仿宋_GB2312" w:eastAsia="仿宋_GB2312"/>
          <w:color w:val="000000"/>
          <w:sz w:val="32"/>
          <w:szCs w:val="32"/>
          <w:lang w:val="en-US" w:eastAsia="zh-CN"/>
        </w:rPr>
        <w:t>7个股室：分别是：办公室、财务股、房屋基建股、机关事务股、节能监督股、车辆管理股、公务接待办公室。人员编制27人，实有14人。</w:t>
      </w:r>
    </w:p>
    <w:p>
      <w:pPr>
        <w:ind w:firstLine="640" w:firstLineChars="200"/>
        <w:rPr>
          <w:rFonts w:hint="eastAsia" w:ascii="仿宋_GB2312" w:eastAsia="仿宋_GB2312"/>
          <w:color w:val="000000"/>
          <w:sz w:val="32"/>
          <w:szCs w:val="32"/>
          <w:lang w:val="en-US" w:eastAsia="zh-CN"/>
        </w:rPr>
      </w:pPr>
      <w:r>
        <w:rPr>
          <w:rFonts w:hint="eastAsia" w:ascii="仿宋_GB2312" w:hAnsi="仿宋_GB2312" w:eastAsia="仿宋_GB2312" w:cs="仿宋_GB2312"/>
          <w:kern w:val="0"/>
          <w:sz w:val="32"/>
          <w:szCs w:val="32"/>
        </w:rPr>
        <w:t>从决算单位构成看，周口市</w:t>
      </w:r>
      <w:r>
        <w:rPr>
          <w:rFonts w:hint="eastAsia" w:ascii="仿宋" w:hAnsi="仿宋" w:eastAsia="仿宋" w:cs="宋体"/>
          <w:kern w:val="0"/>
          <w:sz w:val="32"/>
          <w:szCs w:val="32"/>
        </w:rPr>
        <w:t>淮阳区</w:t>
      </w:r>
      <w:r>
        <w:rPr>
          <w:rFonts w:hint="eastAsia" w:ascii="仿宋" w:hAnsi="仿宋" w:eastAsia="仿宋" w:cs="宋体"/>
          <w:kern w:val="0"/>
          <w:sz w:val="32"/>
          <w:szCs w:val="32"/>
          <w:lang w:eastAsia="zh-CN"/>
        </w:rPr>
        <w:t>机关</w:t>
      </w:r>
      <w:r>
        <w:rPr>
          <w:rFonts w:hint="eastAsia" w:ascii="仿宋" w:hAnsi="仿宋" w:eastAsia="仿宋" w:cs="宋体"/>
          <w:kern w:val="0"/>
          <w:sz w:val="32"/>
          <w:szCs w:val="32"/>
        </w:rPr>
        <w:t>事务局</w:t>
      </w:r>
      <w:r>
        <w:rPr>
          <w:rFonts w:hint="eastAsia" w:ascii="仿宋_GB2312" w:hAnsi="仿宋_GB2312" w:eastAsia="仿宋_GB2312" w:cs="仿宋_GB2312"/>
          <w:kern w:val="0"/>
          <w:sz w:val="32"/>
          <w:szCs w:val="32"/>
        </w:rPr>
        <w:t>部门决算包括：</w:t>
      </w:r>
      <w:r>
        <w:rPr>
          <w:rFonts w:hint="eastAsia" w:ascii="仿宋" w:hAnsi="仿宋" w:eastAsia="仿宋" w:cs="宋体"/>
          <w:kern w:val="0"/>
          <w:sz w:val="32"/>
          <w:szCs w:val="32"/>
        </w:rPr>
        <w:t>本级决算、本部门无二级机构。</w:t>
      </w:r>
    </w:p>
    <w:p>
      <w:pPr>
        <w:ind w:firstLine="640" w:firstLineChars="200"/>
        <w:rPr>
          <w:rFonts w:hint="eastAsia" w:ascii="仿宋_GB2312" w:eastAsia="仿宋_GB2312"/>
          <w:color w:val="000000"/>
          <w:sz w:val="32"/>
          <w:szCs w:val="32"/>
          <w:lang w:val="en-US" w:eastAsia="zh-CN"/>
        </w:rPr>
      </w:pPr>
    </w:p>
    <w:p>
      <w:pPr>
        <w:ind w:firstLine="640" w:firstLineChars="200"/>
        <w:rPr>
          <w:rFonts w:hint="eastAsia" w:ascii="仿宋_GB2312" w:eastAsia="仿宋_GB2312"/>
          <w:color w:val="000000"/>
          <w:sz w:val="32"/>
          <w:szCs w:val="32"/>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p>
    <w:p>
      <w:pPr>
        <w:jc w:val="center"/>
        <w:outlineLvl w:val="0"/>
        <w:rPr>
          <w:rFonts w:hint="eastAsia" w:ascii="黑体" w:hAnsi="黑体" w:eastAsia="黑体" w:cs="黑体"/>
          <w:color w:val="auto"/>
          <w:sz w:val="48"/>
          <w:szCs w:val="48"/>
          <w:highlight w:val="none"/>
        </w:rPr>
      </w:pPr>
      <w:r>
        <w:rPr>
          <w:rFonts w:hint="eastAsia" w:ascii="黑体" w:hAnsi="黑体" w:eastAsia="黑体" w:cs="黑体"/>
          <w:color w:val="auto"/>
          <w:sz w:val="48"/>
          <w:szCs w:val="48"/>
          <w:highlight w:val="none"/>
        </w:rPr>
        <w:t>第</w:t>
      </w:r>
      <w:r>
        <w:rPr>
          <w:rFonts w:hint="eastAsia" w:ascii="黑体" w:hAnsi="黑体" w:eastAsia="黑体" w:cs="黑体"/>
          <w:color w:val="auto"/>
          <w:sz w:val="48"/>
          <w:szCs w:val="48"/>
          <w:highlight w:val="none"/>
          <w:lang w:eastAsia="zh-CN"/>
        </w:rPr>
        <w:t>二</w:t>
      </w:r>
      <w:r>
        <w:rPr>
          <w:rFonts w:hint="eastAsia" w:ascii="黑体" w:hAnsi="黑体" w:eastAsia="黑体" w:cs="黑体"/>
          <w:color w:val="auto"/>
          <w:sz w:val="48"/>
          <w:szCs w:val="48"/>
          <w:highlight w:val="none"/>
        </w:rPr>
        <w:t>部分</w:t>
      </w:r>
      <w:r>
        <w:rPr>
          <w:rFonts w:hint="eastAsia" w:ascii="黑体" w:hAnsi="黑体" w:eastAsia="黑体" w:cs="黑体"/>
          <w:color w:val="auto"/>
          <w:sz w:val="48"/>
          <w:szCs w:val="48"/>
          <w:highlight w:val="none"/>
          <w:lang w:val="en-US" w:eastAsia="zh-CN"/>
        </w:rPr>
        <w:t xml:space="preserve">  </w:t>
      </w:r>
      <w:r>
        <w:rPr>
          <w:rFonts w:hint="eastAsia" w:ascii="黑体" w:hAnsi="黑体" w:eastAsia="黑体" w:cs="黑体"/>
          <w:color w:val="auto"/>
          <w:sz w:val="48"/>
          <w:szCs w:val="48"/>
          <w:highlight w:val="none"/>
          <w:lang w:eastAsia="zh-CN"/>
        </w:rPr>
        <w:t>201</w:t>
      </w:r>
      <w:r>
        <w:rPr>
          <w:rFonts w:hint="eastAsia" w:ascii="黑体" w:hAnsi="黑体" w:eastAsia="黑体" w:cs="黑体"/>
          <w:color w:val="auto"/>
          <w:sz w:val="48"/>
          <w:szCs w:val="48"/>
          <w:highlight w:val="none"/>
          <w:lang w:val="en-US" w:eastAsia="zh-CN"/>
        </w:rPr>
        <w:t>9</w:t>
      </w:r>
      <w:r>
        <w:rPr>
          <w:rFonts w:hint="eastAsia" w:ascii="黑体" w:hAnsi="黑体" w:eastAsia="黑体" w:cs="黑体"/>
          <w:color w:val="auto"/>
          <w:sz w:val="48"/>
          <w:szCs w:val="48"/>
          <w:highlight w:val="none"/>
          <w:lang w:eastAsia="zh-CN"/>
        </w:rPr>
        <w:t>年度</w:t>
      </w:r>
      <w:r>
        <w:rPr>
          <w:rFonts w:hint="eastAsia" w:ascii="黑体" w:hAnsi="黑体" w:eastAsia="黑体" w:cs="黑体"/>
          <w:color w:val="auto"/>
          <w:sz w:val="48"/>
          <w:szCs w:val="48"/>
          <w:highlight w:val="none"/>
        </w:rPr>
        <w:t>部门决算表</w:t>
      </w:r>
    </w:p>
    <w:p>
      <w:pPr>
        <w:widowControl/>
        <w:jc w:val="left"/>
        <w:rPr>
          <w:rFonts w:hint="eastAsia" w:ascii="黑体" w:hAnsi="宋体" w:eastAsia="黑体" w:cs="宋体"/>
          <w:color w:val="auto"/>
          <w:kern w:val="0"/>
          <w:sz w:val="28"/>
          <w:szCs w:val="28"/>
          <w:highlight w:val="none"/>
          <w:lang w:val="en-US" w:eastAsia="zh-CN"/>
        </w:rPr>
        <w:sectPr>
          <w:pgSz w:w="11906" w:h="16838"/>
          <w:pgMar w:top="1440" w:right="1800" w:bottom="1440" w:left="1800" w:header="720" w:footer="720" w:gutter="0"/>
          <w:pgNumType w:fmt="numberInDash"/>
          <w:cols w:space="720" w:num="1"/>
          <w:docGrid w:type="lines" w:linePitch="312" w:charSpace="0"/>
        </w:sectPr>
      </w:pPr>
    </w:p>
    <w:p>
      <w:pPr>
        <w:jc w:val="center"/>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收入支出决算总表</w:t>
      </w:r>
    </w:p>
    <w:tbl>
      <w:tblPr>
        <w:tblStyle w:val="3"/>
        <w:tblW w:w="13969" w:type="dxa"/>
        <w:tblInd w:w="0" w:type="dxa"/>
        <w:shd w:val="clear" w:color="auto" w:fill="auto"/>
        <w:tblLayout w:type="fixed"/>
        <w:tblCellMar>
          <w:top w:w="0" w:type="dxa"/>
          <w:left w:w="0" w:type="dxa"/>
          <w:bottom w:w="0" w:type="dxa"/>
          <w:right w:w="0" w:type="dxa"/>
        </w:tblCellMar>
      </w:tblPr>
      <w:tblGrid>
        <w:gridCol w:w="4215"/>
        <w:gridCol w:w="925"/>
        <w:gridCol w:w="1430"/>
        <w:gridCol w:w="3927"/>
        <w:gridCol w:w="836"/>
        <w:gridCol w:w="2636"/>
      </w:tblGrid>
      <w:tr>
        <w:tblPrEx>
          <w:shd w:val="clear" w:color="auto" w:fill="auto"/>
          <w:tblCellMar>
            <w:top w:w="0" w:type="dxa"/>
            <w:left w:w="0" w:type="dxa"/>
            <w:bottom w:w="0" w:type="dxa"/>
            <w:right w:w="0" w:type="dxa"/>
          </w:tblCellMar>
        </w:tblPrEx>
        <w:trPr>
          <w:trHeight w:val="255" w:hRule="atLeast"/>
        </w:trPr>
        <w:tc>
          <w:tcPr>
            <w:tcW w:w="421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9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92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3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CellMar>
            <w:top w:w="0" w:type="dxa"/>
            <w:left w:w="0" w:type="dxa"/>
            <w:bottom w:w="0" w:type="dxa"/>
            <w:right w:w="0" w:type="dxa"/>
          </w:tblCellMar>
        </w:tblPrEx>
        <w:trPr>
          <w:trHeight w:val="255" w:hRule="atLeast"/>
        </w:trPr>
        <w:tc>
          <w:tcPr>
            <w:tcW w:w="421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9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92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3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488" w:hRule="atLeast"/>
        </w:trPr>
        <w:tc>
          <w:tcPr>
            <w:tcW w:w="6570"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7399"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CellMar>
            <w:top w:w="0" w:type="dxa"/>
            <w:left w:w="0" w:type="dxa"/>
            <w:bottom w:w="0" w:type="dxa"/>
            <w:right w:w="0" w:type="dxa"/>
          </w:tblCellMar>
        </w:tblPrEx>
        <w:trPr>
          <w:trHeight w:val="54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4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6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CellMar>
            <w:top w:w="0" w:type="dxa"/>
            <w:left w:w="0" w:type="dxa"/>
            <w:bottom w:w="0" w:type="dxa"/>
            <w:right w:w="0" w:type="dxa"/>
          </w:tblCellMar>
        </w:tblPrEx>
        <w:trPr>
          <w:trHeight w:val="728"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CellMar>
            <w:top w:w="0" w:type="dxa"/>
            <w:left w:w="0" w:type="dxa"/>
            <w:bottom w:w="0" w:type="dxa"/>
            <w:right w:w="0" w:type="dxa"/>
          </w:tblCellMar>
        </w:tblPrEx>
        <w:trPr>
          <w:trHeight w:val="62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r>
      <w:tr>
        <w:tblPrEx>
          <w:tblCellMar>
            <w:top w:w="0" w:type="dxa"/>
            <w:left w:w="0" w:type="dxa"/>
            <w:bottom w:w="0" w:type="dxa"/>
            <w:right w:w="0" w:type="dxa"/>
          </w:tblCellMar>
        </w:tblPrEx>
        <w:trPr>
          <w:trHeight w:val="584"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69"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2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2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9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r>
      <w:tr>
        <w:tblPrEx>
          <w:tblCellMar>
            <w:top w:w="0" w:type="dxa"/>
            <w:left w:w="0" w:type="dxa"/>
            <w:bottom w:w="0" w:type="dxa"/>
            <w:right w:w="0" w:type="dxa"/>
          </w:tblCellMar>
        </w:tblPrEx>
        <w:trPr>
          <w:trHeight w:val="670"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r>
      <w:tr>
        <w:tblPrEx>
          <w:tblCellMar>
            <w:top w:w="0" w:type="dxa"/>
            <w:left w:w="0" w:type="dxa"/>
            <w:bottom w:w="0" w:type="dxa"/>
            <w:right w:w="0" w:type="dxa"/>
          </w:tblCellMar>
        </w:tblPrEx>
        <w:trPr>
          <w:trHeight w:val="62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20"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55"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r>
      <w:tr>
        <w:tblPrEx>
          <w:tblCellMar>
            <w:top w:w="0" w:type="dxa"/>
            <w:left w:w="0" w:type="dxa"/>
            <w:bottom w:w="0" w:type="dxa"/>
            <w:right w:w="0" w:type="dxa"/>
          </w:tblCellMar>
        </w:tblPrEx>
        <w:trPr>
          <w:trHeight w:val="54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56"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34"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2"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3"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27"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20"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70"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r>
      <w:tr>
        <w:tblPrEx>
          <w:tblCellMar>
            <w:top w:w="0" w:type="dxa"/>
            <w:left w:w="0" w:type="dxa"/>
            <w:bottom w:w="0" w:type="dxa"/>
            <w:right w:w="0" w:type="dxa"/>
          </w:tblCellMar>
        </w:tblPrEx>
        <w:trPr>
          <w:trHeight w:val="455"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4"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91" w:hRule="atLeast"/>
        </w:trPr>
        <w:tc>
          <w:tcPr>
            <w:tcW w:w="42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9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392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83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26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r>
      <w:tr>
        <w:tblPrEx>
          <w:tblCellMar>
            <w:top w:w="0" w:type="dxa"/>
            <w:left w:w="0" w:type="dxa"/>
            <w:bottom w:w="0" w:type="dxa"/>
            <w:right w:w="0" w:type="dxa"/>
          </w:tblCellMar>
        </w:tblPrEx>
        <w:trPr>
          <w:trHeight w:val="308" w:hRule="atLeast"/>
        </w:trPr>
        <w:tc>
          <w:tcPr>
            <w:tcW w:w="13969"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注：本表反映部门本年度的总收支和年末结转结余情况。本表金额转换为万元时，因四舍五入可能存在尾差。</w:t>
            </w:r>
          </w:p>
        </w:tc>
      </w:tr>
    </w:tbl>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tbl>
      <w:tblPr>
        <w:tblStyle w:val="3"/>
        <w:tblW w:w="13988" w:type="dxa"/>
        <w:tblInd w:w="0" w:type="dxa"/>
        <w:shd w:val="clear" w:color="auto" w:fill="auto"/>
        <w:tblLayout w:type="fixed"/>
        <w:tblCellMar>
          <w:top w:w="0" w:type="dxa"/>
          <w:left w:w="0" w:type="dxa"/>
          <w:bottom w:w="0" w:type="dxa"/>
          <w:right w:w="0" w:type="dxa"/>
        </w:tblCellMar>
      </w:tblPr>
      <w:tblGrid>
        <w:gridCol w:w="2738"/>
        <w:gridCol w:w="262"/>
        <w:gridCol w:w="240"/>
        <w:gridCol w:w="3079"/>
        <w:gridCol w:w="1243"/>
        <w:gridCol w:w="1135"/>
        <w:gridCol w:w="1736"/>
        <w:gridCol w:w="714"/>
        <w:gridCol w:w="761"/>
        <w:gridCol w:w="864"/>
        <w:gridCol w:w="1216"/>
      </w:tblGrid>
      <w:tr>
        <w:tblPrEx>
          <w:shd w:val="clear" w:color="auto" w:fill="auto"/>
          <w:tblCellMar>
            <w:top w:w="0" w:type="dxa"/>
            <w:left w:w="0" w:type="dxa"/>
            <w:bottom w:w="0" w:type="dxa"/>
            <w:right w:w="0" w:type="dxa"/>
          </w:tblCellMar>
        </w:tblPrEx>
        <w:trPr>
          <w:trHeight w:val="90" w:hRule="atLeast"/>
        </w:trPr>
        <w:tc>
          <w:tcPr>
            <w:tcW w:w="13988" w:type="dxa"/>
            <w:gridSpan w:val="11"/>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CellMar>
            <w:top w:w="0" w:type="dxa"/>
            <w:left w:w="0" w:type="dxa"/>
            <w:bottom w:w="0" w:type="dxa"/>
            <w:right w:w="0" w:type="dxa"/>
          </w:tblCellMar>
        </w:tblPrEx>
        <w:trPr>
          <w:trHeight w:val="255" w:hRule="atLeast"/>
        </w:trPr>
        <w:tc>
          <w:tcPr>
            <w:tcW w:w="273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7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1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6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1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CellMar>
            <w:top w:w="0" w:type="dxa"/>
            <w:left w:w="0" w:type="dxa"/>
            <w:bottom w:w="0" w:type="dxa"/>
            <w:right w:w="0" w:type="dxa"/>
          </w:tblCellMar>
        </w:tblPrEx>
        <w:trPr>
          <w:trHeight w:val="255" w:hRule="atLeast"/>
        </w:trPr>
        <w:tc>
          <w:tcPr>
            <w:tcW w:w="6319"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124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1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6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080"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319"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24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13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173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71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76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86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121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CellMar>
            <w:top w:w="0" w:type="dxa"/>
            <w:left w:w="0" w:type="dxa"/>
            <w:bottom w:w="0" w:type="dxa"/>
            <w:right w:w="0" w:type="dxa"/>
          </w:tblCellMar>
        </w:tblPrEx>
        <w:trPr>
          <w:trHeight w:val="308" w:hRule="atLeast"/>
        </w:trPr>
        <w:tc>
          <w:tcPr>
            <w:tcW w:w="324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079"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4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3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1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24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79"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3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1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24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79"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3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1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631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4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73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71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76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6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21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CellMar>
            <w:top w:w="0" w:type="dxa"/>
            <w:left w:w="0" w:type="dxa"/>
            <w:bottom w:w="0" w:type="dxa"/>
            <w:right w:w="0" w:type="dxa"/>
          </w:tblCellMar>
        </w:tblPrEx>
        <w:trPr>
          <w:trHeight w:val="308" w:hRule="atLeast"/>
        </w:trPr>
        <w:tc>
          <w:tcPr>
            <w:tcW w:w="631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3,145.02</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3,145.02</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72"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49"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2,911.29</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2,911.29</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92"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2010350</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7.22</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7.22</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2010399</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其他政府办公厅（室）及相关机构事务支出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2,904.07</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2,904.07</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5"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2013199</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其他党委办公厅（室）及相关机构事务支出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06"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85"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10"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49"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91"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06"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91"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27"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27"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0.02</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0.02</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05"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34"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32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0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2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1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7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988"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注：本表反映部门本年度取得的各项收入情况。本表金额转换为万元时，因四舍五入可能存在尾差。</w:t>
            </w:r>
          </w:p>
        </w:tc>
      </w:tr>
    </w:tbl>
    <w:p>
      <w:pPr>
        <w:rPr>
          <w:rFonts w:hint="eastAsia" w:ascii="仿宋_GB2312" w:hAnsi="仿宋_GB2312" w:eastAsia="仿宋_GB2312" w:cs="仿宋_GB2312"/>
          <w:color w:val="auto"/>
          <w:sz w:val="32"/>
          <w:szCs w:val="32"/>
          <w:highlight w:val="none"/>
        </w:rPr>
      </w:pPr>
    </w:p>
    <w:tbl>
      <w:tblPr>
        <w:tblStyle w:val="3"/>
        <w:tblW w:w="13988" w:type="dxa"/>
        <w:tblInd w:w="0" w:type="dxa"/>
        <w:shd w:val="clear" w:color="auto" w:fill="auto"/>
        <w:tblLayout w:type="fixed"/>
        <w:tblCellMar>
          <w:top w:w="0" w:type="dxa"/>
          <w:left w:w="0" w:type="dxa"/>
          <w:bottom w:w="0" w:type="dxa"/>
          <w:right w:w="0" w:type="dxa"/>
        </w:tblCellMar>
      </w:tblPr>
      <w:tblGrid>
        <w:gridCol w:w="2785"/>
        <w:gridCol w:w="268"/>
        <w:gridCol w:w="268"/>
        <w:gridCol w:w="2976"/>
        <w:gridCol w:w="1372"/>
        <w:gridCol w:w="2010"/>
        <w:gridCol w:w="1092"/>
        <w:gridCol w:w="972"/>
        <w:gridCol w:w="1008"/>
        <w:gridCol w:w="1237"/>
      </w:tblGrid>
      <w:tr>
        <w:tblPrEx>
          <w:shd w:val="clear" w:color="auto" w:fill="auto"/>
          <w:tblCellMar>
            <w:top w:w="0" w:type="dxa"/>
            <w:left w:w="0" w:type="dxa"/>
            <w:bottom w:w="0" w:type="dxa"/>
            <w:right w:w="0" w:type="dxa"/>
          </w:tblCellMar>
        </w:tblPrEx>
        <w:trPr>
          <w:trHeight w:val="390" w:hRule="atLeast"/>
        </w:trPr>
        <w:tc>
          <w:tcPr>
            <w:tcW w:w="13988"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sz w:val="30"/>
                <w:szCs w:val="30"/>
                <w:u w:val="none"/>
              </w:rPr>
              <w:t>支出决算表</w:t>
            </w:r>
          </w:p>
        </w:tc>
      </w:tr>
      <w:tr>
        <w:tblPrEx>
          <w:tblCellMar>
            <w:top w:w="0" w:type="dxa"/>
            <w:left w:w="0" w:type="dxa"/>
            <w:bottom w:w="0" w:type="dxa"/>
            <w:right w:w="0" w:type="dxa"/>
          </w:tblCellMar>
        </w:tblPrEx>
        <w:trPr>
          <w:trHeight w:val="255" w:hRule="atLeast"/>
        </w:trPr>
        <w:tc>
          <w:tcPr>
            <w:tcW w:w="27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9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0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9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0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3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CellMar>
            <w:top w:w="0" w:type="dxa"/>
            <w:left w:w="0" w:type="dxa"/>
            <w:bottom w:w="0" w:type="dxa"/>
            <w:right w:w="0" w:type="dxa"/>
          </w:tblCellMar>
        </w:tblPrEx>
        <w:trPr>
          <w:trHeight w:val="255" w:hRule="atLeast"/>
        </w:trPr>
        <w:tc>
          <w:tcPr>
            <w:tcW w:w="3321" w:type="dxa"/>
            <w:gridSpan w:val="3"/>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29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0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9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7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4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297"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37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201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09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97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00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23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CellMar>
            <w:top w:w="0" w:type="dxa"/>
            <w:left w:w="0" w:type="dxa"/>
            <w:bottom w:w="0" w:type="dxa"/>
            <w:right w:w="0" w:type="dxa"/>
          </w:tblCellMar>
        </w:tblPrEx>
        <w:trPr>
          <w:trHeight w:val="308" w:hRule="atLeast"/>
        </w:trPr>
        <w:tc>
          <w:tcPr>
            <w:tcW w:w="3321"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976"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32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76"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32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76"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6297"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37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0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7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0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520" w:hRule="atLeast"/>
        </w:trPr>
        <w:tc>
          <w:tcPr>
            <w:tcW w:w="6297"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3,145.02</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2,949.94</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195.07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05"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2,916.22</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2"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2,911.29</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2,716.22</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92"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2010350</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7.22</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7.22</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2010399</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其他政府办公厅（室）及相关机构事务支出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2,904.07</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2,709.00</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195.07</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2013199</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其他党委办公厅（室）及相关机构事务支出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4"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70"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9"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55"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8"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3"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0.02</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0.02</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3"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3" w:hRule="atLeast"/>
        </w:trPr>
        <w:tc>
          <w:tcPr>
            <w:tcW w:w="33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2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20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0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9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0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2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988"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注：本表反映部门本年度各项支出情况。本表金额转换为万元时，因四舍五入可能存在尾差。</w:t>
            </w:r>
          </w:p>
        </w:tc>
      </w:tr>
    </w:tbl>
    <w:p>
      <w:pPr>
        <w:rPr>
          <w:rFonts w:hint="eastAsia" w:ascii="仿宋_GB2312" w:hAnsi="仿宋_GB2312" w:eastAsia="仿宋_GB2312" w:cs="仿宋_GB2312"/>
          <w:color w:val="auto"/>
          <w:sz w:val="32"/>
          <w:szCs w:val="32"/>
          <w:highlight w:val="none"/>
        </w:rPr>
      </w:pPr>
    </w:p>
    <w:tbl>
      <w:tblPr>
        <w:tblStyle w:val="3"/>
        <w:tblW w:w="14790" w:type="dxa"/>
        <w:tblInd w:w="0" w:type="dxa"/>
        <w:shd w:val="clear" w:color="auto" w:fill="auto"/>
        <w:tblLayout w:type="autofit"/>
        <w:tblCellMar>
          <w:top w:w="0" w:type="dxa"/>
          <w:left w:w="0" w:type="dxa"/>
          <w:bottom w:w="0" w:type="dxa"/>
          <w:right w:w="0" w:type="dxa"/>
        </w:tblCellMar>
      </w:tblPr>
      <w:tblGrid>
        <w:gridCol w:w="3270"/>
        <w:gridCol w:w="570"/>
        <w:gridCol w:w="1680"/>
        <w:gridCol w:w="3660"/>
        <w:gridCol w:w="570"/>
        <w:gridCol w:w="1680"/>
        <w:gridCol w:w="1680"/>
        <w:gridCol w:w="1680"/>
      </w:tblGrid>
      <w:tr>
        <w:tblPrEx>
          <w:shd w:val="clear" w:color="auto" w:fill="auto"/>
          <w:tblCellMar>
            <w:top w:w="0" w:type="dxa"/>
            <w:left w:w="0" w:type="dxa"/>
            <w:bottom w:w="0" w:type="dxa"/>
            <w:right w:w="0" w:type="dxa"/>
          </w:tblCellMar>
        </w:tblPrEx>
        <w:trPr>
          <w:trHeight w:val="390" w:hRule="atLeast"/>
        </w:trPr>
        <w:tc>
          <w:tcPr>
            <w:tcW w:w="3270"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p>
            <w:pPr>
              <w:rPr>
                <w:rFonts w:hint="default" w:ascii="Arial" w:hAnsi="Arial" w:cs="Arial"/>
                <w:i w:val="0"/>
                <w:color w:val="000000"/>
                <w:sz w:val="20"/>
                <w:szCs w:val="20"/>
                <w:u w:val="none"/>
              </w:rPr>
            </w:pPr>
          </w:p>
          <w:p>
            <w:pPr>
              <w:rPr>
                <w:rFonts w:hint="default" w:ascii="Arial" w:hAnsi="Arial" w:cs="Arial"/>
                <w:i w:val="0"/>
                <w:color w:val="000000"/>
                <w:sz w:val="20"/>
                <w:szCs w:val="20"/>
                <w:u w:val="none"/>
              </w:rPr>
            </w:pPr>
          </w:p>
          <w:p>
            <w:pPr>
              <w:rPr>
                <w:rFonts w:hint="default" w:ascii="Arial" w:hAnsi="Arial" w:cs="Arial"/>
                <w:i w:val="0"/>
                <w:color w:val="000000"/>
                <w:sz w:val="20"/>
                <w:szCs w:val="20"/>
                <w:u w:val="none"/>
              </w:rPr>
            </w:pPr>
          </w:p>
          <w:p>
            <w:pPr>
              <w:rPr>
                <w:rFonts w:hint="default" w:ascii="Arial" w:hAnsi="Arial" w:cs="Arial"/>
                <w:i w:val="0"/>
                <w:color w:val="000000"/>
                <w:sz w:val="20"/>
                <w:szCs w:val="20"/>
                <w:u w:val="none"/>
              </w:rPr>
            </w:pPr>
          </w:p>
        </w:tc>
        <w:tc>
          <w:tcPr>
            <w:tcW w:w="366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kern w:val="0"/>
                <w:sz w:val="30"/>
                <w:szCs w:val="30"/>
                <w:u w:val="none"/>
                <w:lang w:val="en-US" w:eastAsia="zh-CN" w:bidi="ar"/>
              </w:rPr>
            </w:pPr>
          </w:p>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财政拨款收入支出决算总表</w:t>
            </w: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0" w:type="auto"/>
            <w:gridSpan w:val="5"/>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CellMar>
            <w:top w:w="0" w:type="dxa"/>
            <w:left w:w="0" w:type="dxa"/>
            <w:bottom w:w="0" w:type="dxa"/>
            <w:right w:w="0" w:type="dxa"/>
          </w:tblCellMar>
        </w:tblPrEx>
        <w:trPr>
          <w:trHeight w:val="292" w:hRule="atLeast"/>
        </w:trPr>
        <w:tc>
          <w:tcPr>
            <w:tcW w:w="327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36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6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CellMar>
            <w:top w:w="0" w:type="dxa"/>
            <w:left w:w="0" w:type="dxa"/>
            <w:bottom w:w="0" w:type="dxa"/>
            <w:right w:w="0" w:type="dxa"/>
          </w:tblCellMar>
        </w:tblPrEx>
        <w:trPr>
          <w:trHeight w:val="615" w:hRule="atLeast"/>
        </w:trPr>
        <w:tc>
          <w:tcPr>
            <w:tcW w:w="327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CellMar>
            <w:top w:w="0" w:type="dxa"/>
            <w:left w:w="0" w:type="dxa"/>
            <w:bottom w:w="0" w:type="dxa"/>
            <w:right w:w="0" w:type="dxa"/>
          </w:tblCellMar>
        </w:tblPrEx>
        <w:trPr>
          <w:trHeight w:val="670"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69"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4"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06"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2"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5"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9"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27"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20"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56"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13"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56"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3"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63"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41"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5"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9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55"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19"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3,145.02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54" w:hRule="atLeast"/>
        </w:trPr>
        <w:tc>
          <w:tcPr>
            <w:tcW w:w="14790"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注：本表反映部门本年度一般公共预算财政拨款和政府性基金预算财政拨款的总收支和年末结转结余情况。本表金额转换为万元时，因四舍五入可能存在尾差。</w:t>
            </w:r>
          </w:p>
        </w:tc>
      </w:tr>
    </w:tbl>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tbl>
      <w:tblPr>
        <w:tblStyle w:val="3"/>
        <w:tblW w:w="13947" w:type="dxa"/>
        <w:tblInd w:w="0" w:type="dxa"/>
        <w:shd w:val="clear" w:color="auto" w:fill="auto"/>
        <w:tblLayout w:type="fixed"/>
        <w:tblCellMar>
          <w:top w:w="0" w:type="dxa"/>
          <w:left w:w="0" w:type="dxa"/>
          <w:bottom w:w="0" w:type="dxa"/>
          <w:right w:w="0" w:type="dxa"/>
        </w:tblCellMar>
      </w:tblPr>
      <w:tblGrid>
        <w:gridCol w:w="3230"/>
        <w:gridCol w:w="36"/>
        <w:gridCol w:w="36"/>
        <w:gridCol w:w="4430"/>
        <w:gridCol w:w="1715"/>
        <w:gridCol w:w="1200"/>
        <w:gridCol w:w="3300"/>
      </w:tblGrid>
      <w:tr>
        <w:tblPrEx>
          <w:shd w:val="clear" w:color="auto" w:fill="auto"/>
          <w:tblCellMar>
            <w:top w:w="0" w:type="dxa"/>
            <w:left w:w="0" w:type="dxa"/>
            <w:bottom w:w="0" w:type="dxa"/>
            <w:right w:w="0" w:type="dxa"/>
          </w:tblCellMar>
        </w:tblPrEx>
        <w:trPr>
          <w:trHeight w:val="390" w:hRule="atLeast"/>
        </w:trPr>
        <w:tc>
          <w:tcPr>
            <w:tcW w:w="13947" w:type="dxa"/>
            <w:gridSpan w:val="7"/>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CellMar>
            <w:top w:w="0" w:type="dxa"/>
            <w:left w:w="0" w:type="dxa"/>
            <w:bottom w:w="0" w:type="dxa"/>
            <w:right w:w="0" w:type="dxa"/>
          </w:tblCellMar>
        </w:tblPrEx>
        <w:trPr>
          <w:trHeight w:val="255" w:hRule="atLeast"/>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4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1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0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CellMar>
            <w:top w:w="0" w:type="dxa"/>
            <w:left w:w="0" w:type="dxa"/>
            <w:bottom w:w="0" w:type="dxa"/>
            <w:right w:w="0" w:type="dxa"/>
          </w:tblCellMar>
        </w:tblPrEx>
        <w:trPr>
          <w:trHeight w:val="255" w:hRule="atLeast"/>
        </w:trPr>
        <w:tc>
          <w:tcPr>
            <w:tcW w:w="32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4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1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0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7732"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21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CellMar>
            <w:top w:w="0" w:type="dxa"/>
            <w:left w:w="0" w:type="dxa"/>
            <w:bottom w:w="0" w:type="dxa"/>
            <w:right w:w="0" w:type="dxa"/>
          </w:tblCellMar>
        </w:tblPrEx>
        <w:trPr>
          <w:trHeight w:val="308" w:hRule="atLeast"/>
        </w:trPr>
        <w:tc>
          <w:tcPr>
            <w:tcW w:w="3302"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43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71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2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33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trHeight w:val="277" w:hRule="atLeast"/>
        </w:trPr>
        <w:tc>
          <w:tcPr>
            <w:tcW w:w="33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3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3302"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3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1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3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7732"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71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3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CellMar>
            <w:top w:w="0" w:type="dxa"/>
            <w:left w:w="0" w:type="dxa"/>
            <w:bottom w:w="0" w:type="dxa"/>
            <w:right w:w="0" w:type="dxa"/>
          </w:tblCellMar>
        </w:tblPrEx>
        <w:trPr>
          <w:trHeight w:val="308" w:hRule="atLeast"/>
        </w:trPr>
        <w:tc>
          <w:tcPr>
            <w:tcW w:w="7732"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3,145.02</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2,949.94</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195.07</w:t>
            </w:r>
          </w:p>
        </w:tc>
      </w:tr>
      <w:tr>
        <w:tblPrEx>
          <w:tblCellMar>
            <w:top w:w="0" w:type="dxa"/>
            <w:left w:w="0" w:type="dxa"/>
            <w:bottom w:w="0" w:type="dxa"/>
            <w:right w:w="0" w:type="dxa"/>
          </w:tblCellMar>
        </w:tblPrEx>
        <w:trPr>
          <w:trHeight w:val="562"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3,111.29</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2,916.22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195.07</w:t>
            </w:r>
          </w:p>
        </w:tc>
      </w:tr>
      <w:tr>
        <w:tblPrEx>
          <w:tblCellMar>
            <w:top w:w="0" w:type="dxa"/>
            <w:left w:w="0" w:type="dxa"/>
            <w:bottom w:w="0" w:type="dxa"/>
            <w:right w:w="0" w:type="dxa"/>
          </w:tblCellMar>
        </w:tblPrEx>
        <w:trPr>
          <w:trHeight w:val="627"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2,911.29</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2,716.22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195.07</w:t>
            </w:r>
          </w:p>
        </w:tc>
      </w:tr>
      <w:tr>
        <w:tblPrEx>
          <w:tblCellMar>
            <w:top w:w="0" w:type="dxa"/>
            <w:left w:w="0" w:type="dxa"/>
            <w:bottom w:w="0" w:type="dxa"/>
            <w:right w:w="0" w:type="dxa"/>
          </w:tblCellMar>
        </w:tblPrEx>
        <w:trPr>
          <w:trHeight w:val="670"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2010350</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事业运行</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7.22</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4"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2010399</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其他政府办公厅（室）及相关机构事务支出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2,904.07</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2,709.00</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195.07</w:t>
            </w:r>
          </w:p>
        </w:tc>
      </w:tr>
      <w:tr>
        <w:tblPrEx>
          <w:tblCellMar>
            <w:top w:w="0" w:type="dxa"/>
            <w:left w:w="0" w:type="dxa"/>
            <w:bottom w:w="0" w:type="dxa"/>
            <w:right w:w="0" w:type="dxa"/>
          </w:tblCellMar>
        </w:tblPrEx>
        <w:trPr>
          <w:trHeight w:val="563"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49"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2013199</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其他党委办公厅（室）及相关机构事务支出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200.00</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84"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20"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1.13</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9"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9"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0.04</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99"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0.39</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20"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56"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0.02</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0.02</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20"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77"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48" w:hRule="atLeast"/>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4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12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3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947" w:type="dxa"/>
            <w:gridSpan w:val="7"/>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注：本表反映部门本年度一般公共预算财政拨款支出情况。本表金额转换为万元时，因四舍五入可能存在尾差。</w:t>
            </w:r>
          </w:p>
        </w:tc>
      </w:tr>
    </w:tbl>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tbl>
      <w:tblPr>
        <w:tblStyle w:val="3"/>
        <w:tblW w:w="13988" w:type="dxa"/>
        <w:tblInd w:w="0" w:type="dxa"/>
        <w:shd w:val="clear" w:color="auto" w:fill="auto"/>
        <w:tblLayout w:type="fixed"/>
        <w:tblCellMar>
          <w:top w:w="0" w:type="dxa"/>
          <w:left w:w="0" w:type="dxa"/>
          <w:bottom w:w="0" w:type="dxa"/>
          <w:right w:w="0" w:type="dxa"/>
        </w:tblCellMar>
      </w:tblPr>
      <w:tblGrid>
        <w:gridCol w:w="1305"/>
        <w:gridCol w:w="2783"/>
        <w:gridCol w:w="953"/>
        <w:gridCol w:w="697"/>
        <w:gridCol w:w="1650"/>
        <w:gridCol w:w="1187"/>
        <w:gridCol w:w="725"/>
        <w:gridCol w:w="3823"/>
        <w:gridCol w:w="865"/>
      </w:tblGrid>
      <w:tr>
        <w:tblPrEx>
          <w:shd w:val="clear" w:color="auto" w:fill="auto"/>
          <w:tblCellMar>
            <w:top w:w="0" w:type="dxa"/>
            <w:left w:w="0" w:type="dxa"/>
            <w:bottom w:w="0" w:type="dxa"/>
            <w:right w:w="0" w:type="dxa"/>
          </w:tblCellMar>
        </w:tblPrEx>
        <w:trPr>
          <w:trHeight w:val="390" w:hRule="atLeast"/>
        </w:trPr>
        <w:tc>
          <w:tcPr>
            <w:tcW w:w="13988" w:type="dxa"/>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r>
      <w:tr>
        <w:tblPrEx>
          <w:tblCellMar>
            <w:top w:w="0" w:type="dxa"/>
            <w:left w:w="0" w:type="dxa"/>
            <w:bottom w:w="0" w:type="dxa"/>
            <w:right w:w="0" w:type="dxa"/>
          </w:tblCellMar>
        </w:tblPrEx>
        <w:trPr>
          <w:trHeight w:val="255" w:hRule="atLeast"/>
        </w:trPr>
        <w:tc>
          <w:tcPr>
            <w:tcW w:w="130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278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5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82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6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CellMar>
            <w:top w:w="0" w:type="dxa"/>
            <w:left w:w="0" w:type="dxa"/>
            <w:bottom w:w="0" w:type="dxa"/>
            <w:right w:w="0" w:type="dxa"/>
          </w:tblCellMar>
        </w:tblPrEx>
        <w:trPr>
          <w:trHeight w:val="255" w:hRule="atLeast"/>
        </w:trPr>
        <w:tc>
          <w:tcPr>
            <w:tcW w:w="4088"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95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688"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CellMar>
            <w:top w:w="0" w:type="dxa"/>
            <w:left w:w="0" w:type="dxa"/>
            <w:bottom w:w="0" w:type="dxa"/>
            <w:right w:w="0" w:type="dxa"/>
          </w:tblCellMar>
        </w:tblPrEx>
        <w:trPr>
          <w:trHeight w:val="308" w:hRule="atLeast"/>
        </w:trPr>
        <w:tc>
          <w:tcPr>
            <w:tcW w:w="5041"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8947" w:type="dxa"/>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CellMar>
            <w:top w:w="0" w:type="dxa"/>
            <w:left w:w="0" w:type="dxa"/>
            <w:bottom w:w="0" w:type="dxa"/>
            <w:right w:w="0" w:type="dxa"/>
          </w:tblCellMar>
        </w:tblPrEx>
        <w:trPr>
          <w:trHeight w:val="308" w:hRule="atLeast"/>
        </w:trPr>
        <w:tc>
          <w:tcPr>
            <w:tcW w:w="130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78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69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6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8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7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82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CellMar>
            <w:top w:w="0" w:type="dxa"/>
            <w:left w:w="0" w:type="dxa"/>
            <w:bottom w:w="0" w:type="dxa"/>
            <w:right w:w="0" w:type="dxa"/>
          </w:tblCellMar>
        </w:tblPrEx>
        <w:trPr>
          <w:trHeight w:val="308" w:hRule="atLeast"/>
        </w:trPr>
        <w:tc>
          <w:tcPr>
            <w:tcW w:w="130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2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289.92</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2,584.60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5.41</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22.72</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24.37</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36.69</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281.14</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0.55</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99.85</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36.69</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607.38</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0.26</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8.42</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0.53</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312.77</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0.06</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0.32</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405.72</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38.73</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12.32</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1.67</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30217</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84.93</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32.16</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133.29</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6.57</w:t>
            </w: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30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7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69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6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11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694.88</w:t>
            </w:r>
          </w:p>
        </w:tc>
        <w:tc>
          <w:tcPr>
            <w:tcW w:w="72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38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4088"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95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328.65</w:t>
            </w:r>
          </w:p>
        </w:tc>
        <w:tc>
          <w:tcPr>
            <w:tcW w:w="8082" w:type="dxa"/>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2,621.29</w:t>
            </w:r>
          </w:p>
        </w:tc>
      </w:tr>
      <w:tr>
        <w:tblPrEx>
          <w:tblCellMar>
            <w:top w:w="0" w:type="dxa"/>
            <w:left w:w="0" w:type="dxa"/>
            <w:bottom w:w="0" w:type="dxa"/>
            <w:right w:w="0" w:type="dxa"/>
          </w:tblCellMar>
        </w:tblPrEx>
        <w:trPr>
          <w:trHeight w:val="308" w:hRule="atLeast"/>
        </w:trPr>
        <w:tc>
          <w:tcPr>
            <w:tcW w:w="13988"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注：本表反映部门本年度一般公共预算财政拨款基本支出明细情况。本表金额转换为万元时，因四舍五入可能存在尾差。</w:t>
            </w:r>
          </w:p>
        </w:tc>
      </w:tr>
    </w:tbl>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tbl>
      <w:tblPr>
        <w:tblStyle w:val="3"/>
        <w:tblW w:w="14190" w:type="dxa"/>
        <w:tblInd w:w="0" w:type="dxa"/>
        <w:shd w:val="clear" w:color="auto" w:fill="auto"/>
        <w:tblLayout w:type="autofit"/>
        <w:tblCellMar>
          <w:top w:w="0" w:type="dxa"/>
          <w:left w:w="0" w:type="dxa"/>
          <w:bottom w:w="0" w:type="dxa"/>
          <w:right w:w="0" w:type="dxa"/>
        </w:tblCellMar>
      </w:tblPr>
      <w:tblGrid>
        <w:gridCol w:w="3230"/>
        <w:gridCol w:w="1035"/>
        <w:gridCol w:w="836"/>
        <w:gridCol w:w="803"/>
        <w:gridCol w:w="899"/>
        <w:gridCol w:w="679"/>
        <w:gridCol w:w="1102"/>
        <w:gridCol w:w="1105"/>
        <w:gridCol w:w="1118"/>
        <w:gridCol w:w="803"/>
        <w:gridCol w:w="1150"/>
        <w:gridCol w:w="1430"/>
      </w:tblGrid>
      <w:tr>
        <w:tblPrEx>
          <w:shd w:val="clear" w:color="auto" w:fill="auto"/>
          <w:tblCellMar>
            <w:top w:w="0" w:type="dxa"/>
            <w:left w:w="0" w:type="dxa"/>
            <w:bottom w:w="0" w:type="dxa"/>
            <w:right w:w="0" w:type="dxa"/>
          </w:tblCellMar>
        </w:tblPrEx>
        <w:trPr>
          <w:trHeight w:val="540" w:hRule="atLeast"/>
        </w:trPr>
        <w:tc>
          <w:tcPr>
            <w:tcW w:w="14190" w:type="dxa"/>
            <w:gridSpan w:val="1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44"/>
                <w:szCs w:val="44"/>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67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515"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CellMar>
            <w:top w:w="0" w:type="dxa"/>
            <w:left w:w="0" w:type="dxa"/>
            <w:bottom w:w="0" w:type="dxa"/>
            <w:right w:w="0" w:type="dxa"/>
          </w:tblCellMar>
        </w:tblPrEx>
        <w:trPr>
          <w:trHeight w:val="308" w:hRule="atLeast"/>
        </w:trPr>
        <w:tc>
          <w:tcPr>
            <w:tcW w:w="97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40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2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118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372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4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CellMar>
            <w:top w:w="0" w:type="dxa"/>
            <w:left w:w="0" w:type="dxa"/>
            <w:bottom w:w="0" w:type="dxa"/>
            <w:right w:w="0" w:type="dxa"/>
          </w:tblCellMar>
        </w:tblPrEx>
        <w:trPr>
          <w:trHeight w:val="615" w:hRule="atLeast"/>
        </w:trPr>
        <w:tc>
          <w:tcPr>
            <w:tcW w:w="97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1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2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0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4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4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97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1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2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2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4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4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cs="宋体"/>
                <w:i w:val="0"/>
                <w:color w:val="000000"/>
                <w:sz w:val="20"/>
                <w:szCs w:val="20"/>
                <w:u w:val="none"/>
                <w:lang w:val="en-US" w:eastAsia="zh-CN"/>
              </w:rPr>
              <w:t>614.2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cs="宋体"/>
                <w:i w:val="0"/>
                <w:color w:val="000000"/>
                <w:sz w:val="20"/>
                <w:szCs w:val="20"/>
                <w:u w:val="none"/>
                <w:lang w:val="en-US" w:eastAsia="zh-CN"/>
              </w:rPr>
              <w:t>134.2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cs="宋体"/>
                <w:i w:val="0"/>
                <w:color w:val="000000"/>
                <w:sz w:val="20"/>
                <w:szCs w:val="20"/>
                <w:u w:val="none"/>
                <w:lang w:val="en-US" w:eastAsia="zh-CN"/>
              </w:rPr>
              <w:t>480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218.21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133.29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84.93</w:t>
            </w:r>
          </w:p>
        </w:tc>
      </w:tr>
      <w:tr>
        <w:tblPrEx>
          <w:tblCellMar>
            <w:top w:w="0" w:type="dxa"/>
            <w:left w:w="0" w:type="dxa"/>
            <w:bottom w:w="0" w:type="dxa"/>
            <w:right w:w="0" w:type="dxa"/>
          </w:tblCellMar>
        </w:tblPrEx>
        <w:trPr>
          <w:trHeight w:val="615" w:hRule="atLeast"/>
        </w:trPr>
        <w:tc>
          <w:tcPr>
            <w:tcW w:w="14190" w:type="dxa"/>
            <w:gridSpan w:val="1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本表金额转换为万元时，因四舍五入可能存在尾差。</w:t>
            </w:r>
          </w:p>
        </w:tc>
      </w:tr>
    </w:tbl>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p>
      <w:pPr>
        <w:rPr>
          <w:rFonts w:hint="eastAsia" w:ascii="仿宋_GB2312" w:hAnsi="仿宋_GB2312" w:eastAsia="仿宋_GB2312" w:cs="仿宋_GB2312"/>
          <w:color w:val="auto"/>
          <w:sz w:val="32"/>
          <w:szCs w:val="32"/>
          <w:highlight w:val="none"/>
        </w:rPr>
      </w:pPr>
    </w:p>
    <w:tbl>
      <w:tblPr>
        <w:tblStyle w:val="3"/>
        <w:tblpPr w:leftFromText="180" w:rightFromText="180" w:vertAnchor="text" w:horzAnchor="page" w:tblpX="1460" w:tblpY="-8162"/>
        <w:tblOverlap w:val="never"/>
        <w:tblW w:w="13969" w:type="dxa"/>
        <w:tblInd w:w="0" w:type="dxa"/>
        <w:shd w:val="clear" w:color="auto" w:fill="auto"/>
        <w:tblLayout w:type="fixed"/>
        <w:tblCellMar>
          <w:top w:w="0" w:type="dxa"/>
          <w:left w:w="0" w:type="dxa"/>
          <w:bottom w:w="0" w:type="dxa"/>
          <w:right w:w="0" w:type="dxa"/>
        </w:tblCellMar>
      </w:tblPr>
      <w:tblGrid>
        <w:gridCol w:w="3672"/>
        <w:gridCol w:w="41"/>
        <w:gridCol w:w="308"/>
        <w:gridCol w:w="2375"/>
        <w:gridCol w:w="1588"/>
        <w:gridCol w:w="795"/>
        <w:gridCol w:w="701"/>
        <w:gridCol w:w="996"/>
        <w:gridCol w:w="900"/>
        <w:gridCol w:w="2593"/>
      </w:tblGrid>
      <w:tr>
        <w:tblPrEx>
          <w:shd w:val="clear" w:color="auto" w:fill="auto"/>
          <w:tblCellMar>
            <w:top w:w="0" w:type="dxa"/>
            <w:left w:w="0" w:type="dxa"/>
            <w:bottom w:w="0" w:type="dxa"/>
            <w:right w:w="0" w:type="dxa"/>
          </w:tblCellMar>
        </w:tblPrEx>
        <w:trPr>
          <w:trHeight w:val="390" w:hRule="atLeast"/>
        </w:trPr>
        <w:tc>
          <w:tcPr>
            <w:tcW w:w="13969" w:type="dxa"/>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CellMar>
            <w:top w:w="0" w:type="dxa"/>
            <w:left w:w="0" w:type="dxa"/>
            <w:bottom w:w="0" w:type="dxa"/>
            <w:right w:w="0" w:type="dxa"/>
          </w:tblCellMar>
        </w:tblPrEx>
        <w:trPr>
          <w:trHeight w:val="255" w:hRule="atLeast"/>
        </w:trPr>
        <w:tc>
          <w:tcPr>
            <w:tcW w:w="3672"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8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0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59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CellMar>
            <w:top w:w="0" w:type="dxa"/>
            <w:left w:w="0" w:type="dxa"/>
            <w:bottom w:w="0" w:type="dxa"/>
            <w:right w:w="0" w:type="dxa"/>
          </w:tblCellMar>
        </w:tblPrEx>
        <w:trPr>
          <w:trHeight w:val="255" w:hRule="atLeast"/>
        </w:trPr>
        <w:tc>
          <w:tcPr>
            <w:tcW w:w="367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部门：周口市淮阳区机关事务管理局</w:t>
            </w: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8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0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59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6396"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588"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79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597"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259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CellMar>
            <w:top w:w="0" w:type="dxa"/>
            <w:left w:w="0" w:type="dxa"/>
            <w:bottom w:w="0" w:type="dxa"/>
            <w:right w:w="0" w:type="dxa"/>
          </w:tblCellMar>
        </w:tblPrEx>
        <w:trPr>
          <w:trHeight w:val="308" w:hRule="atLeast"/>
        </w:trPr>
        <w:tc>
          <w:tcPr>
            <w:tcW w:w="4021"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375"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8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9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25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402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75"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8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402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75"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88"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0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9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27" w:hRule="atLeast"/>
        </w:trPr>
        <w:tc>
          <w:tcPr>
            <w:tcW w:w="6396"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8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0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9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0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259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308" w:hRule="atLeast"/>
        </w:trPr>
        <w:tc>
          <w:tcPr>
            <w:tcW w:w="6396"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i w:val="0"/>
                <w:color w:val="000000"/>
                <w:sz w:val="22"/>
                <w:szCs w:val="22"/>
                <w:u w:val="none"/>
              </w:rPr>
            </w:pPr>
          </w:p>
        </w:tc>
      </w:tr>
      <w:tr>
        <w:tblPrEx>
          <w:tblCellMar>
            <w:top w:w="0" w:type="dxa"/>
            <w:left w:w="0" w:type="dxa"/>
            <w:bottom w:w="0" w:type="dxa"/>
            <w:right w:w="0" w:type="dxa"/>
          </w:tblCellMar>
        </w:tblPrEx>
        <w:trPr>
          <w:trHeight w:val="627" w:hRule="atLeast"/>
        </w:trPr>
        <w:tc>
          <w:tcPr>
            <w:tcW w:w="40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84" w:hRule="atLeast"/>
        </w:trPr>
        <w:tc>
          <w:tcPr>
            <w:tcW w:w="40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542" w:hRule="atLeast"/>
        </w:trPr>
        <w:tc>
          <w:tcPr>
            <w:tcW w:w="40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91" w:hRule="atLeast"/>
        </w:trPr>
        <w:tc>
          <w:tcPr>
            <w:tcW w:w="40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5" w:hRule="atLeast"/>
        </w:trPr>
        <w:tc>
          <w:tcPr>
            <w:tcW w:w="40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491" w:hRule="atLeast"/>
        </w:trPr>
        <w:tc>
          <w:tcPr>
            <w:tcW w:w="402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3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13969"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注：本表反映部门本年度政府性基金预算财政拨款收入、支出及结转和结余情况。</w:t>
            </w:r>
          </w:p>
        </w:tc>
      </w:tr>
    </w:tbl>
    <w:p>
      <w:pPr>
        <w:rPr>
          <w:rFonts w:hint="eastAsia" w:ascii="仿宋_GB2312" w:hAnsi="仿宋_GB2312" w:eastAsia="仿宋_GB2312" w:cs="仿宋_GB2312"/>
          <w:color w:val="auto"/>
          <w:sz w:val="32"/>
          <w:szCs w:val="32"/>
          <w:highlight w:val="none"/>
        </w:rPr>
      </w:pPr>
    </w:p>
    <w:p>
      <w:pPr>
        <w:keepNext w:val="0"/>
        <w:keepLines w:val="0"/>
        <w:pageBreakBefore w:val="0"/>
        <w:widowControl/>
        <w:kinsoku/>
        <w:wordWrap/>
        <w:overflowPunct/>
        <w:topLinePunct w:val="0"/>
        <w:autoSpaceDE/>
        <w:autoSpaceDN/>
        <w:bidi w:val="0"/>
        <w:adjustRightInd/>
        <w:snapToGrid/>
        <w:spacing w:line="590" w:lineRule="exact"/>
        <w:ind w:right="0" w:rightChars="0"/>
        <w:jc w:val="left"/>
        <w:textAlignment w:val="auto"/>
        <w:outlineLvl w:val="9"/>
        <w:rPr>
          <w:rFonts w:hint="eastAsia" w:ascii="仿宋_GB2312" w:hAnsi="仿宋_GB2312" w:eastAsia="仿宋_GB2312" w:cs="仿宋_GB2312"/>
          <w:color w:val="auto"/>
          <w:sz w:val="32"/>
          <w:szCs w:val="32"/>
          <w:highlight w:val="none"/>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仿宋_GB2312" w:hAnsi="仿宋_GB2312" w:eastAsia="仿宋_GB2312" w:cs="仿宋_GB2312"/>
          <w:color w:val="auto"/>
          <w:sz w:val="32"/>
          <w:szCs w:val="32"/>
          <w:highlight w:val="none"/>
          <w:lang w:val="en-US" w:eastAsia="zh-CN"/>
        </w:rPr>
        <w:t>说明：我部门没有政府性基金收入，也没有使用政府性基金安排的支出，故本表无数据。</w:t>
      </w:r>
    </w:p>
    <w:p>
      <w:pPr>
        <w:widowControl/>
        <w:jc w:val="left"/>
        <w:rPr>
          <w:rFonts w:hint="eastAsia" w:ascii="黑体" w:hAnsi="宋体" w:eastAsia="黑体" w:cs="宋体"/>
          <w:color w:val="auto"/>
          <w:kern w:val="0"/>
          <w:sz w:val="28"/>
          <w:szCs w:val="28"/>
          <w:highlight w:val="none"/>
          <w:lang w:val="en-US" w:eastAsia="zh-CN"/>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p>
    <w:p>
      <w:pPr>
        <w:jc w:val="both"/>
        <w:outlineLvl w:val="0"/>
        <w:rPr>
          <w:rFonts w:hint="eastAsia" w:ascii="黑体" w:hAnsi="黑体" w:eastAsia="黑体" w:cs="黑体"/>
          <w:color w:val="auto"/>
          <w:sz w:val="48"/>
          <w:szCs w:val="48"/>
          <w:highlight w:val="none"/>
        </w:rPr>
      </w:pPr>
      <w:r>
        <w:rPr>
          <w:rFonts w:hint="eastAsia" w:ascii="黑体" w:hAnsi="黑体" w:eastAsia="黑体" w:cs="黑体"/>
          <w:color w:val="auto"/>
          <w:sz w:val="48"/>
          <w:szCs w:val="48"/>
          <w:highlight w:val="none"/>
        </w:rPr>
        <w:t>第</w:t>
      </w:r>
      <w:r>
        <w:rPr>
          <w:rFonts w:hint="eastAsia" w:ascii="黑体" w:hAnsi="黑体" w:eastAsia="黑体" w:cs="黑体"/>
          <w:color w:val="auto"/>
          <w:sz w:val="48"/>
          <w:szCs w:val="48"/>
          <w:highlight w:val="none"/>
          <w:lang w:eastAsia="zh-CN"/>
        </w:rPr>
        <w:t>三</w:t>
      </w:r>
      <w:r>
        <w:rPr>
          <w:rFonts w:hint="eastAsia" w:ascii="黑体" w:hAnsi="黑体" w:eastAsia="黑体" w:cs="黑体"/>
          <w:color w:val="auto"/>
          <w:sz w:val="48"/>
          <w:szCs w:val="48"/>
          <w:highlight w:val="none"/>
        </w:rPr>
        <w:t>部分</w:t>
      </w:r>
      <w:r>
        <w:rPr>
          <w:rFonts w:hint="eastAsia" w:ascii="黑体" w:hAnsi="黑体" w:eastAsia="黑体" w:cs="黑体"/>
          <w:color w:val="auto"/>
          <w:sz w:val="48"/>
          <w:szCs w:val="48"/>
          <w:highlight w:val="none"/>
          <w:lang w:val="en-US" w:eastAsia="zh-CN"/>
        </w:rPr>
        <w:t xml:space="preserve">  </w:t>
      </w:r>
      <w:r>
        <w:rPr>
          <w:rFonts w:hint="eastAsia" w:ascii="黑体" w:hAnsi="黑体" w:eastAsia="黑体" w:cs="黑体"/>
          <w:color w:val="auto"/>
          <w:sz w:val="48"/>
          <w:szCs w:val="48"/>
          <w:highlight w:val="none"/>
          <w:lang w:eastAsia="zh-CN"/>
        </w:rPr>
        <w:t>201</w:t>
      </w:r>
      <w:r>
        <w:rPr>
          <w:rFonts w:hint="eastAsia" w:ascii="黑体" w:hAnsi="黑体" w:eastAsia="黑体" w:cs="黑体"/>
          <w:color w:val="auto"/>
          <w:sz w:val="48"/>
          <w:szCs w:val="48"/>
          <w:highlight w:val="none"/>
          <w:lang w:val="en-US" w:eastAsia="zh-CN"/>
        </w:rPr>
        <w:t>9</w:t>
      </w:r>
      <w:r>
        <w:rPr>
          <w:rFonts w:hint="eastAsia" w:ascii="黑体" w:hAnsi="黑体" w:eastAsia="黑体" w:cs="黑体"/>
          <w:color w:val="auto"/>
          <w:sz w:val="48"/>
          <w:szCs w:val="48"/>
          <w:highlight w:val="none"/>
          <w:lang w:eastAsia="zh-CN"/>
        </w:rPr>
        <w:t>年度</w:t>
      </w:r>
      <w:r>
        <w:rPr>
          <w:rFonts w:hint="eastAsia" w:ascii="黑体" w:hAnsi="黑体" w:eastAsia="黑体" w:cs="黑体"/>
          <w:color w:val="auto"/>
          <w:sz w:val="48"/>
          <w:szCs w:val="48"/>
          <w:highlight w:val="none"/>
        </w:rPr>
        <w:t>部门决算情况说明</w:t>
      </w:r>
    </w:p>
    <w:p>
      <w:pPr>
        <w:widowControl/>
        <w:jc w:val="both"/>
        <w:rPr>
          <w:rFonts w:hint="eastAsia" w:ascii="黑体" w:hAnsi="黑体" w:eastAsia="黑体" w:cs="黑体"/>
          <w:color w:val="auto"/>
          <w:sz w:val="48"/>
          <w:szCs w:val="48"/>
          <w:highlight w:val="none"/>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一、收入支出决算总体情况说明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auto"/>
          <w:sz w:val="32"/>
          <w:szCs w:val="32"/>
          <w:highlight w:val="none"/>
          <w:lang w:val="en-US" w:eastAsia="zh-CN"/>
        </w:rPr>
        <w:t>2019年度收、支总计均为3145.02万元。与上年度相比，收、支总计各增加217.86万元，增长7.4%。</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主要原因是水电、物业等支出费用的增加，偿还以前年度县委县政府老院欠下的陈旧电费等。</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二、收入决算情况说明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黑体" w:hAnsi="黑体" w:eastAsia="黑体" w:cs="黑体"/>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2019年度收入合计3145.02万元，其中：财政拨款收入3145.02万元，占100%。</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三、支出决算情况说明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2019年度支出合计3145.02万元，其中：基本支出3145.02万元，占100%。</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auto"/>
          <w:sz w:val="32"/>
          <w:szCs w:val="32"/>
          <w:highlight w:val="none"/>
          <w:lang w:val="en-US" w:eastAsia="zh-CN"/>
        </w:rPr>
        <w:t>2019年度财政拨款收、支总计均为3145.02万元。与上年度相比，财政拨款收、支总计各增加217.86万元，增长7.4%。</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主要原因是水电、物业等支出费用的增加，偿还以前年度县委县政府老院欠下的陈旧电费等。</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（一）总体情况。</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auto"/>
          <w:sz w:val="32"/>
          <w:szCs w:val="32"/>
          <w:highlight w:val="none"/>
          <w:lang w:val="en-US" w:eastAsia="zh-CN"/>
        </w:rPr>
        <w:t>2019年度一般公共预算财政拨款支出3145.02万元，占本年支出合计的100%。与上年度相比，一般公共预算财政拨款支出增加217.86万元，增长7.4%。</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主要原因是水电、物业等支出费用的增加，偿还以前年度县委县政府老院欠下的陈旧电费等。</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（二）结构情况。</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2019年度一般公共预算财政拨款支出3145.02万元，主要用于以下方面：一般公共服务（类）支出3111.29万元，占98.92%。</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（三）具体情况。</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2019年度一般公共预算财政拨款支出年初预算为2993.35万元，支出决算为3145.02万元，完成年初预算的105%。其中：</w:t>
      </w:r>
    </w:p>
    <w:p>
      <w:pPr>
        <w:keepNext w:val="0"/>
        <w:keepLines w:val="0"/>
        <w:pageBreakBefore w:val="0"/>
        <w:widowControl/>
        <w:numPr>
          <w:ilvl w:val="0"/>
          <w:numId w:val="3"/>
        </w:numPr>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一般公共服务（类）政府办公厅（室）及相关机构事务（款） 事业运行（项）。</w:t>
      </w:r>
      <w:r>
        <w:rPr>
          <w:rFonts w:hint="eastAsia" w:ascii="仿宋_GB2312" w:hAnsi="仿宋_GB2312" w:eastAsia="仿宋_GB2312" w:cs="仿宋_GB2312"/>
          <w:color w:val="auto"/>
          <w:sz w:val="32"/>
          <w:szCs w:val="32"/>
          <w:highlight w:val="none"/>
          <w:lang w:val="en-US" w:eastAsia="zh-CN"/>
        </w:rPr>
        <w:t>年初预算为6.41万元，支出决算为7.22万元，完成年初预算的112%。</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lang w:val="en-US" w:eastAsia="zh-CN"/>
        </w:rPr>
        <w:t>一般公共服务（类）政府办公厅（室）及相关机构事务（款） 其他政府办公厅（室）及相关机构事务支出（项）。</w:t>
      </w:r>
      <w:r>
        <w:rPr>
          <w:rFonts w:hint="eastAsia" w:ascii="仿宋_GB2312" w:hAnsi="仿宋_GB2312" w:eastAsia="仿宋_GB2312" w:cs="仿宋_GB2312"/>
          <w:color w:val="auto"/>
          <w:sz w:val="32"/>
          <w:szCs w:val="32"/>
          <w:highlight w:val="none"/>
          <w:lang w:val="en-US" w:eastAsia="zh-CN"/>
        </w:rPr>
        <w:t>年初预算为0万元，支出决算为2904.07万元，完成年初预算的100%。</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决算数与年初预算数存在差异的主要原因是预算和决算科目的调整。决算中的一部分体现在到其他党委办公厅（室）及相关机构事务支出中。</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3.</w:t>
      </w:r>
      <w:r>
        <w:rPr>
          <w:rFonts w:hint="eastAsia" w:ascii="仿宋_GB2312" w:hAnsi="仿宋_GB2312" w:eastAsia="仿宋_GB2312" w:cs="仿宋_GB2312"/>
          <w:b/>
          <w:bCs/>
          <w:color w:val="auto"/>
          <w:sz w:val="32"/>
          <w:szCs w:val="32"/>
          <w:highlight w:val="none"/>
          <w:lang w:val="en-US" w:eastAsia="zh-CN"/>
        </w:rPr>
        <w:t>一般公共服务（类）党委办公厅（室）及相关机构事务（室）及相关机构事务（款） 其他党委办公厅（室）及相关机构事务支出（项）。</w:t>
      </w:r>
      <w:r>
        <w:rPr>
          <w:rFonts w:hint="eastAsia" w:ascii="仿宋_GB2312" w:hAnsi="仿宋_GB2312" w:eastAsia="仿宋_GB2312" w:cs="仿宋_GB2312"/>
          <w:color w:val="auto"/>
          <w:sz w:val="32"/>
          <w:szCs w:val="32"/>
          <w:highlight w:val="none"/>
          <w:lang w:val="en-US" w:eastAsia="zh-CN"/>
        </w:rPr>
        <w:t>年初预算为2984.69万元，支出决算为200万元，完成年初预算的6.7%。</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决算数与年初预算数存在差异的主要原因是预算和决算科目的调整。决算中的一部分体现在到其他党委办公厅（室）及相关机构事务支出中。</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4.</w:t>
      </w:r>
      <w:r>
        <w:rPr>
          <w:rFonts w:hint="eastAsia" w:ascii="仿宋_GB2312" w:hAnsi="仿宋_GB2312" w:eastAsia="仿宋_GB2312" w:cs="仿宋_GB2312"/>
          <w:b/>
          <w:bCs/>
          <w:color w:val="auto"/>
          <w:sz w:val="32"/>
          <w:szCs w:val="32"/>
          <w:highlight w:val="none"/>
          <w:lang w:val="en-US" w:eastAsia="zh-CN"/>
        </w:rPr>
        <w:t>社会保障和就业支出（类）行政事业单位离退休（款）机关事业单位基本养老保险缴费支出（项）。</w:t>
      </w:r>
      <w:r>
        <w:rPr>
          <w:rFonts w:hint="eastAsia" w:ascii="仿宋_GB2312" w:hAnsi="仿宋_GB2312" w:eastAsia="仿宋_GB2312" w:cs="仿宋_GB2312"/>
          <w:color w:val="auto"/>
          <w:sz w:val="32"/>
          <w:szCs w:val="32"/>
          <w:highlight w:val="none"/>
          <w:lang w:val="en-US" w:eastAsia="zh-CN"/>
        </w:rPr>
        <w:t>年初预算为1.28万元，支出决算为1.13万元，完成年初预算的88.28%。</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决算数与年初预算数存在差异的主要原因部分人员实际编制不在本单位，年初预算较多，实际支出少。</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bCs/>
          <w:color w:val="auto"/>
          <w:sz w:val="32"/>
          <w:szCs w:val="32"/>
          <w:highlight w:val="none"/>
          <w:lang w:val="en-US" w:eastAsia="zh-CN"/>
        </w:rPr>
        <w:t>社会保障和就业支出（类）其他社会保障和就业支出（款）其他社会保障和就业支出（项）。</w:t>
      </w:r>
      <w:r>
        <w:rPr>
          <w:rFonts w:hint="eastAsia" w:ascii="仿宋_GB2312" w:hAnsi="仿宋_GB2312" w:eastAsia="仿宋_GB2312" w:cs="仿宋_GB2312"/>
          <w:color w:val="auto"/>
          <w:sz w:val="32"/>
          <w:szCs w:val="32"/>
          <w:highlight w:val="none"/>
          <w:lang w:val="en-US" w:eastAsia="zh-CN"/>
        </w:rPr>
        <w:t>年初预算为0.077万元，支出决算为0.04万元，完成年初预算的51.94%。</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决算数与年初预算数存在差异的主要原因部分人员实际编制不在本单位，年初预算较多，实际支出少。</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6.</w:t>
      </w:r>
      <w:r>
        <w:rPr>
          <w:rFonts w:hint="eastAsia" w:ascii="仿宋_GB2312" w:hAnsi="仿宋_GB2312" w:eastAsia="仿宋_GB2312" w:cs="仿宋_GB2312"/>
          <w:b/>
          <w:bCs/>
          <w:color w:val="auto"/>
          <w:sz w:val="32"/>
          <w:szCs w:val="32"/>
          <w:highlight w:val="none"/>
          <w:lang w:val="en-US" w:eastAsia="zh-CN"/>
        </w:rPr>
        <w:t>医疗卫生与计划生育支出（类）行政事业单位医疗（款） 行政单位医疗（项）。</w:t>
      </w:r>
      <w:r>
        <w:rPr>
          <w:rFonts w:hint="eastAsia" w:ascii="仿宋_GB2312" w:hAnsi="仿宋_GB2312" w:eastAsia="仿宋_GB2312" w:cs="仿宋_GB2312"/>
          <w:color w:val="auto"/>
          <w:sz w:val="32"/>
          <w:szCs w:val="32"/>
          <w:highlight w:val="none"/>
          <w:lang w:val="en-US" w:eastAsia="zh-CN"/>
        </w:rPr>
        <w:t>年初预算为0.43万元，支出决算为0.39万元，完成年初预算的90.69%。</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决算数与年初预算数存在差异的主要原因部分人员实际编制不在本单位，年初预算较多，实际支出少。</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leftChars="200" w:right="0" w:rightChars="0" w:firstLine="643" w:firstLineChars="200"/>
        <w:jc w:val="both"/>
        <w:textAlignment w:val="auto"/>
        <w:outlineLvl w:val="9"/>
        <w:rPr>
          <w:rFonts w:hint="eastAsia" w:ascii="仿宋_GB2312" w:hAnsi="仿宋_GB2312" w:eastAsia="仿宋_GB2312" w:cs="仿宋_GB2312"/>
          <w:color w:val="FF0000"/>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7.农林水支出（类）扶贫（款）其他扶贫支出（项）。</w:t>
      </w:r>
      <w:r>
        <w:rPr>
          <w:rFonts w:hint="eastAsia" w:ascii="仿宋_GB2312" w:hAnsi="仿宋_GB2312" w:eastAsia="仿宋_GB2312" w:cs="仿宋_GB2312"/>
          <w:color w:val="auto"/>
          <w:sz w:val="32"/>
          <w:szCs w:val="32"/>
          <w:highlight w:val="none"/>
          <w:lang w:val="en-US" w:eastAsia="zh-CN"/>
        </w:rPr>
        <w:t>年初预算为0万元，支出决算为32.16万元，完成年初预算的100%。</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决算数与年初预算数存在差异的主要原因扶贫工作支出的增加。</w:t>
      </w:r>
    </w:p>
    <w:p>
      <w:pPr>
        <w:keepNext w:val="0"/>
        <w:keepLines w:val="0"/>
        <w:pageBreakBefore w:val="0"/>
        <w:widowControl/>
        <w:kinsoku/>
        <w:wordWrap/>
        <w:overflowPunct/>
        <w:topLinePunct w:val="0"/>
        <w:autoSpaceDE/>
        <w:autoSpaceDN/>
        <w:bidi w:val="0"/>
        <w:adjustRightInd/>
        <w:snapToGrid/>
        <w:spacing w:line="640" w:lineRule="exact"/>
        <w:ind w:right="0" w:rightChars="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 xml:space="preserve">    六、一般公共预算财政拨款基本支出决算情况说明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一般公共预算财政拨款基本支出3145.02万元。其中：人员经费328.65万元，主要包括：基本工资、津贴补贴、伙食补助费、绩效工资、机关事业单位基本养老保险缴费、职业年金缴费、其他社会保障缴费、其他工资福利支出、离休费、退休费、抚恤金、生活补助、医疗费、奖励金、住房公积金、采暖补贴、物业服务补贴、其他对个人和家庭的补助支出；公用经费2621.29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七、一般公共预算财政拨款“三公”经费支出决算情况说明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2"/>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（一）“三公”经费财政拨款支出决算总体情况说明。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2019年度“三公”经费财政拨款支出预算为614.2万元，支出决算为218.21万元，完成预算的35.56%。2018年度“三公”经费财政拨款支出决算50.60 万元，同比上升了67.84%，主要原因是2019年扶贫检查次数多，接待量增加。</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2019年度“三公”经费支出决算数与预算数存在差异的主要原因是</w:t>
      </w:r>
      <w:r>
        <w:rPr>
          <w:rFonts w:hint="eastAsia" w:ascii="宋体" w:hAnsi="宋体" w:eastAsia="宋体" w:cs="宋体"/>
          <w:i w:val="0"/>
          <w:caps w:val="0"/>
          <w:color w:val="000000" w:themeColor="text1"/>
          <w:spacing w:val="0"/>
          <w:sz w:val="24"/>
          <w:szCs w:val="24"/>
          <w:shd w:val="clear" w:color="auto" w:fill="FFFFFF"/>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根据中央八项规定严格执行公务</w:t>
      </w:r>
      <w:bookmarkStart w:id="0" w:name="_GoBack"/>
      <w:bookmarkEnd w:id="0"/>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接待相关要求，接待次数减</w:t>
      </w:r>
      <w:r>
        <w:rPr>
          <w:rFonts w:hint="eastAsia" w:ascii="仿宋_GB2312" w:hAnsi="仿宋_GB2312" w:eastAsia="仿宋_GB2312" w:cs="仿宋_GB2312"/>
          <w:color w:val="auto"/>
          <w:sz w:val="32"/>
          <w:szCs w:val="32"/>
          <w:highlight w:val="none"/>
          <w:lang w:val="en-US" w:eastAsia="zh-CN"/>
        </w:rPr>
        <w:t>少及标准化，使各项三公经费减少。</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2"/>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（二）“三公”经费财政拨款支出决算具体情况说明。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三公”经费财政拨款支出决算中，因公出国（境）费支出决算0万元，完成预算的0%，占0%；公务用车购置及运行费支出决算133.29万元，完成预算的99.32%，占61.08%；公务接待费支出决算84.93万元，完成预算的17.69%，占38.92%。具体情况如下：</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1．因公出国（境）费</w:t>
      </w:r>
      <w:r>
        <w:rPr>
          <w:rFonts w:hint="eastAsia" w:ascii="仿宋_GB2312" w:hAnsi="仿宋_GB2312" w:eastAsia="仿宋_GB2312" w:cs="仿宋_GB2312"/>
          <w:color w:val="auto"/>
          <w:sz w:val="32"/>
          <w:szCs w:val="32"/>
          <w:highlight w:val="none"/>
          <w:lang w:val="en-US" w:eastAsia="zh-CN"/>
        </w:rPr>
        <w:t>全年因公出国（境）团组0个，累计0人次。</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color w:val="auto"/>
          <w:sz w:val="32"/>
          <w:szCs w:val="32"/>
          <w:highlight w:val="none"/>
          <w:lang w:val="en-US" w:eastAsia="zh-CN"/>
        </w:rPr>
        <w:t>2．公务用车购置及运行费</w:t>
      </w:r>
      <w:r>
        <w:rPr>
          <w:rFonts w:hint="eastAsia" w:ascii="仿宋_GB2312" w:hAnsi="仿宋_GB2312" w:eastAsia="仿宋_GB2312" w:cs="仿宋_GB2312"/>
          <w:b w:val="0"/>
          <w:bCs w:val="0"/>
          <w:color w:val="auto"/>
          <w:sz w:val="32"/>
          <w:szCs w:val="32"/>
          <w:highlight w:val="none"/>
          <w:lang w:val="en-US" w:eastAsia="zh-CN"/>
        </w:rPr>
        <w:t>年</w:t>
      </w:r>
      <w:r>
        <w:rPr>
          <w:rFonts w:hint="eastAsia" w:ascii="仿宋_GB2312" w:hAnsi="仿宋_GB2312" w:eastAsia="仿宋_GB2312" w:cs="仿宋_GB2312"/>
          <w:color w:val="auto"/>
          <w:sz w:val="32"/>
          <w:szCs w:val="32"/>
          <w:highlight w:val="none"/>
          <w:lang w:val="en-US" w:eastAsia="zh-CN"/>
        </w:rPr>
        <w:t>初预算为134.20万元，支出决算为133.29万元，完成年初预算的99.32%。</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决算数与年初预算数存在差异的主要原因是贯彻落实党政机关厉行节约有关要求，加强公务用车管理。</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公务用车购置支出</w:t>
      </w:r>
      <w:r>
        <w:rPr>
          <w:rFonts w:hint="eastAsia" w:ascii="仿宋_GB2312" w:hAnsi="仿宋_GB2312" w:eastAsia="仿宋_GB2312" w:cs="仿宋_GB2312"/>
          <w:color w:val="auto"/>
          <w:sz w:val="32"/>
          <w:szCs w:val="32"/>
          <w:highlight w:val="none"/>
          <w:lang w:val="en-US" w:eastAsia="zh-CN"/>
        </w:rPr>
        <w:t>为0万元，购置车辆0辆。</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公务用车运行支出</w:t>
      </w:r>
      <w:r>
        <w:rPr>
          <w:rFonts w:hint="eastAsia" w:ascii="仿宋_GB2312" w:hAnsi="仿宋_GB2312" w:eastAsia="仿宋_GB2312" w:cs="仿宋_GB2312"/>
          <w:color w:val="auto"/>
          <w:sz w:val="32"/>
          <w:szCs w:val="32"/>
          <w:highlight w:val="none"/>
          <w:lang w:val="en-US" w:eastAsia="zh-CN"/>
        </w:rPr>
        <w:t>133.29万元。主要用于公务用车的油费、维修费等开支。2019年期末，部门开支财政拨款的公务用车保有量为71辆。</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leftChars="200" w:right="0" w:rightChars="0" w:firstLine="321" w:firstLineChars="1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color w:val="auto"/>
          <w:sz w:val="32"/>
          <w:szCs w:val="32"/>
          <w:highlight w:val="none"/>
          <w:lang w:val="en-US" w:eastAsia="zh-CN"/>
        </w:rPr>
        <w:t>1.公务接待费</w:t>
      </w:r>
      <w:r>
        <w:rPr>
          <w:rFonts w:hint="eastAsia" w:ascii="仿宋_GB2312" w:hAnsi="仿宋_GB2312" w:eastAsia="仿宋_GB2312" w:cs="仿宋_GB2312"/>
          <w:b w:val="0"/>
          <w:bCs w:val="0"/>
          <w:color w:val="auto"/>
          <w:sz w:val="32"/>
          <w:szCs w:val="32"/>
          <w:highlight w:val="none"/>
          <w:lang w:val="en-US" w:eastAsia="zh-CN"/>
        </w:rPr>
        <w:t>年</w:t>
      </w:r>
      <w:r>
        <w:rPr>
          <w:rFonts w:hint="eastAsia" w:ascii="仿宋_GB2312" w:hAnsi="仿宋_GB2312" w:eastAsia="仿宋_GB2312" w:cs="仿宋_GB2312"/>
          <w:color w:val="auto"/>
          <w:sz w:val="32"/>
          <w:szCs w:val="32"/>
          <w:highlight w:val="none"/>
          <w:lang w:val="en-US" w:eastAsia="zh-CN"/>
        </w:rPr>
        <w:t>初预算为480万元，支出决算为84.93万元，完成年初预算的17.69%。</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决算数与年初预算数存在差异的主要原因是严格执行公务接待管理规定,规范公务接待活动,严格审批、严控标准,大力压缩公务接待费支出。</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leftChars="200" w:right="0" w:rightChars="0"/>
        <w:jc w:val="both"/>
        <w:textAlignment w:val="auto"/>
        <w:outlineLvl w:val="9"/>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2.</w:t>
      </w:r>
      <w:r>
        <w:rPr>
          <w:rFonts w:hint="eastAsia" w:ascii="仿宋_GB2312" w:hAnsi="仿宋_GB2312" w:eastAsia="仿宋_GB2312" w:cs="仿宋_GB2312"/>
          <w:b/>
          <w:bCs/>
          <w:color w:val="000000" w:themeColor="text1"/>
          <w:sz w:val="32"/>
          <w:szCs w:val="32"/>
          <w:highlight w:val="none"/>
          <w:lang w:val="en-US" w:eastAsia="zh-CN"/>
          <w14:textFill>
            <w14:solidFill>
              <w14:schemeClr w14:val="tx1"/>
            </w14:solidFill>
          </w14:textFill>
        </w:rPr>
        <w:t>外宾接待支出</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0万元。主要用于住宿餐饮等方面。2019年共接待国（境）外来访团组203个、来访外宾6000人次（不包括陪同人员）。</w:t>
      </w:r>
    </w:p>
    <w:p>
      <w:pPr>
        <w:keepNext w:val="0"/>
        <w:keepLines w:val="0"/>
        <w:pageBreakBefore w:val="0"/>
        <w:widowControl/>
        <w:numPr>
          <w:ilvl w:val="0"/>
          <w:numId w:val="0"/>
        </w:numPr>
        <w:kinsoku/>
        <w:wordWrap/>
        <w:overflowPunct/>
        <w:topLinePunct w:val="0"/>
        <w:autoSpaceDE/>
        <w:autoSpaceDN/>
        <w:bidi w:val="0"/>
        <w:adjustRightInd/>
        <w:snapToGrid/>
        <w:spacing w:line="640" w:lineRule="exact"/>
        <w:ind w:right="0" w:rightChars="0" w:firstLine="643"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highlight w:val="none"/>
          <w:lang w:val="en-US" w:eastAsia="zh-CN"/>
          <w14:textFill>
            <w14:solidFill>
              <w14:schemeClr w14:val="tx1"/>
            </w14:solidFill>
          </w14:textFill>
        </w:rPr>
        <w:t>其他国内公务接待支出</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84.93万元。主要用于住宿餐饮等方面。2019年共接待国内来访团组302 个、来宾 6000 人次（不包括陪同人员）。</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八、预算绩效情况说明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2"/>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（一）绩效管理工作开展情况。</w:t>
      </w:r>
    </w:p>
    <w:p>
      <w:pPr>
        <w:keepNext w:val="0"/>
        <w:keepLines w:val="0"/>
        <w:pageBreakBefore w:val="0"/>
        <w:widowControl w:val="0"/>
        <w:kinsoku/>
        <w:wordWrap/>
        <w:overflowPunct/>
        <w:topLinePunct w:val="0"/>
        <w:autoSpaceDE/>
        <w:autoSpaceDN/>
        <w:bidi w:val="0"/>
        <w:adjustRightInd/>
        <w:snapToGrid/>
        <w:spacing w:line="640" w:lineRule="exact"/>
        <w:ind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积极履行了各项职责，保质保量的完成全县行政事业单位的公务用车编制、计划、配置、更新及监管工作。全县公共机构节能监督管理工作，县委、人大、政府、政协等领导机关符合接待标准的公务、政务、会议接待工作等。</w:t>
      </w:r>
    </w:p>
    <w:p>
      <w:pPr>
        <w:keepNext w:val="0"/>
        <w:keepLines w:val="0"/>
        <w:pageBreakBefore w:val="0"/>
        <w:widowControl/>
        <w:numPr>
          <w:ilvl w:val="0"/>
          <w:numId w:val="4"/>
        </w:numPr>
        <w:kinsoku/>
        <w:wordWrap/>
        <w:overflowPunct/>
        <w:topLinePunct w:val="0"/>
        <w:autoSpaceDE/>
        <w:autoSpaceDN/>
        <w:bidi w:val="0"/>
        <w:adjustRightInd/>
        <w:snapToGrid/>
        <w:spacing w:line="640" w:lineRule="exact"/>
        <w:ind w:left="0" w:leftChars="0" w:right="0" w:rightChars="0" w:firstLine="643" w:firstLineChars="200"/>
        <w:jc w:val="both"/>
        <w:textAlignment w:val="auto"/>
        <w:outlineLvl w:val="2"/>
        <w:rPr>
          <w:rFonts w:hint="eastAsia" w:ascii="楷体_GB2312" w:hAnsi="楷体_GB2312" w:eastAsia="楷体_GB2312" w:cs="楷体_GB2312"/>
          <w:b/>
          <w:bCs/>
          <w:color w:val="auto"/>
          <w:sz w:val="32"/>
          <w:szCs w:val="32"/>
          <w:highlight w:val="none"/>
          <w:lang w:val="en-US" w:eastAsia="zh-CN"/>
        </w:rPr>
      </w:pPr>
      <w:r>
        <w:rPr>
          <w:rFonts w:hint="eastAsia" w:ascii="楷体_GB2312" w:hAnsi="楷体_GB2312" w:eastAsia="楷体_GB2312" w:cs="楷体_GB2312"/>
          <w:b/>
          <w:bCs/>
          <w:color w:val="auto"/>
          <w:sz w:val="32"/>
          <w:szCs w:val="32"/>
          <w:highlight w:val="none"/>
          <w:lang w:val="en-US" w:eastAsia="zh-CN"/>
        </w:rPr>
        <w:t>项目绩效自评结果。</w:t>
      </w:r>
    </w:p>
    <w:p>
      <w:pPr>
        <w:keepNext w:val="0"/>
        <w:keepLines w:val="0"/>
        <w:pageBreakBefore w:val="0"/>
        <w:widowControl/>
        <w:kinsoku/>
        <w:wordWrap/>
        <w:overflowPunct/>
        <w:topLinePunct w:val="0"/>
        <w:autoSpaceDE/>
        <w:autoSpaceDN/>
        <w:bidi w:val="0"/>
        <w:adjustRightInd/>
        <w:snapToGrid/>
        <w:spacing w:line="640" w:lineRule="exact"/>
        <w:ind w:firstLine="640"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val="0"/>
          <w:bCs w:val="0"/>
          <w:sz w:val="32"/>
          <w:szCs w:val="32"/>
          <w:lang w:val="en-US" w:eastAsia="zh-CN"/>
        </w:rPr>
        <w:t>2019年度，本单位没有民生项目和重点支出项目，所以未开展预算绩效评价。</w:t>
      </w:r>
    </w:p>
    <w:p>
      <w:pPr>
        <w:keepNext w:val="0"/>
        <w:keepLines w:val="0"/>
        <w:pageBreakBefore w:val="0"/>
        <w:widowControl/>
        <w:kinsoku/>
        <w:wordWrap/>
        <w:overflowPunct/>
        <w:topLinePunct w:val="0"/>
        <w:autoSpaceDE/>
        <w:autoSpaceDN/>
        <w:bidi w:val="0"/>
        <w:adjustRightInd/>
        <w:snapToGrid/>
        <w:spacing w:line="640" w:lineRule="exact"/>
        <w:ind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九、政府性基金预算财政拨款支出决算情况说明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我部门2019年度没有政府性基金收入，也没有使用政府性基金安排的支出。</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十、机关运行经费支出情况说明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FF0000"/>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2019年度机关运行经费年初预算为120万元，支出决算为120万元，完成年初预算的100%。</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十一、政府采购支出情况说明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2019年度政府采购支出总额224.72万元，其中：政府采购货物支出0万元、政府采购工程支出0万元、政府采购服务支出224.72万元。授予中小企业合同金额0万元，占政府采购支出总额的0%，其中：授予小微企业合同金额0万元，占政府采购支出总额的0%。</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1"/>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十二、国有资产占用情况说明</w:t>
      </w:r>
    </w:p>
    <w:p>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2019年期末，我部门共有车辆71辆，其中：省级领导干部用车0辆、主要领导干部用车1辆、机要通信用车0辆、应急保障车70辆、执法执勤用车0辆、特种专业技术用车0辆、离退休干部用车0辆、其他用车0辆；单位价值50万元以上通用设备0台（套），单位价值100万元以上专用设备0台（套）。</w:t>
      </w:r>
    </w:p>
    <w:p>
      <w:pPr>
        <w:widowControl/>
        <w:jc w:val="left"/>
        <w:rPr>
          <w:rFonts w:hint="eastAsia" w:ascii="楷体_GB2312" w:hAnsi="楷体_GB2312" w:eastAsia="楷体_GB2312" w:cs="楷体_GB2312"/>
          <w:color w:val="auto"/>
          <w:sz w:val="32"/>
          <w:szCs w:val="32"/>
          <w:highlight w:val="none"/>
          <w:lang w:val="en-US" w:eastAsia="zh-CN"/>
        </w:rPr>
      </w:pPr>
    </w:p>
    <w:p>
      <w:pPr>
        <w:bidi w:val="0"/>
        <w:rPr>
          <w:rFonts w:hint="eastAsia"/>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jc w:val="center"/>
        <w:outlineLvl w:val="0"/>
        <w:rPr>
          <w:rFonts w:hint="eastAsia" w:ascii="黑体" w:hAnsi="黑体" w:eastAsia="黑体" w:cs="黑体"/>
          <w:color w:val="auto"/>
          <w:sz w:val="48"/>
          <w:szCs w:val="48"/>
          <w:highlight w:val="none"/>
          <w:lang w:val="en-US" w:eastAsia="zh-CN"/>
        </w:rPr>
      </w:pPr>
      <w:r>
        <w:rPr>
          <w:rFonts w:hint="eastAsia" w:ascii="黑体" w:hAnsi="黑体" w:eastAsia="黑体" w:cs="黑体"/>
          <w:color w:val="auto"/>
          <w:sz w:val="48"/>
          <w:szCs w:val="48"/>
          <w:highlight w:val="none"/>
          <w:lang w:val="en-US" w:eastAsia="zh-CN"/>
        </w:rPr>
        <w:t xml:space="preserve"> </w:t>
      </w:r>
    </w:p>
    <w:p>
      <w:pPr>
        <w:jc w:val="center"/>
        <w:outlineLvl w:val="0"/>
        <w:rPr>
          <w:rFonts w:hint="eastAsia" w:ascii="黑体" w:hAnsi="黑体" w:eastAsia="黑体" w:cs="黑体"/>
          <w:color w:val="auto"/>
          <w:sz w:val="48"/>
          <w:szCs w:val="48"/>
          <w:highlight w:val="none"/>
        </w:rPr>
      </w:pPr>
      <w:r>
        <w:rPr>
          <w:rFonts w:hint="eastAsia" w:ascii="黑体" w:hAnsi="黑体" w:eastAsia="黑体" w:cs="黑体"/>
          <w:color w:val="auto"/>
          <w:sz w:val="48"/>
          <w:szCs w:val="48"/>
          <w:highlight w:val="none"/>
        </w:rPr>
        <w:t>第</w:t>
      </w:r>
      <w:r>
        <w:rPr>
          <w:rFonts w:hint="eastAsia" w:ascii="黑体" w:hAnsi="黑体" w:eastAsia="黑体" w:cs="黑体"/>
          <w:color w:val="auto"/>
          <w:sz w:val="48"/>
          <w:szCs w:val="48"/>
          <w:highlight w:val="none"/>
          <w:lang w:eastAsia="zh-CN"/>
        </w:rPr>
        <w:t>四</w:t>
      </w:r>
      <w:r>
        <w:rPr>
          <w:rFonts w:hint="eastAsia" w:ascii="黑体" w:hAnsi="黑体" w:eastAsia="黑体" w:cs="黑体"/>
          <w:color w:val="auto"/>
          <w:sz w:val="48"/>
          <w:szCs w:val="48"/>
          <w:highlight w:val="none"/>
        </w:rPr>
        <w:t>部分</w:t>
      </w:r>
      <w:r>
        <w:rPr>
          <w:rFonts w:hint="eastAsia" w:ascii="黑体" w:hAnsi="黑体" w:eastAsia="黑体" w:cs="黑体"/>
          <w:color w:val="auto"/>
          <w:sz w:val="48"/>
          <w:szCs w:val="48"/>
          <w:highlight w:val="none"/>
          <w:lang w:val="en-US" w:eastAsia="zh-CN"/>
        </w:rPr>
        <w:t xml:space="preserve">  </w:t>
      </w:r>
      <w:r>
        <w:rPr>
          <w:rFonts w:hint="eastAsia" w:ascii="黑体" w:hAnsi="黑体" w:eastAsia="黑体" w:cs="黑体"/>
          <w:color w:val="auto"/>
          <w:sz w:val="48"/>
          <w:szCs w:val="48"/>
          <w:highlight w:val="none"/>
        </w:rPr>
        <w:t>名词解释</w:t>
      </w:r>
    </w:p>
    <w:p>
      <w:pPr>
        <w:tabs>
          <w:tab w:val="right" w:pos="8306"/>
        </w:tabs>
        <w:bidi w:val="0"/>
        <w:jc w:val="left"/>
        <w:rPr>
          <w:rFonts w:hint="eastAsia"/>
          <w:lang w:val="en-US" w:eastAsia="zh-CN"/>
        </w:rPr>
        <w:sectPr>
          <w:pgSz w:w="11906" w:h="16838"/>
          <w:pgMar w:top="1440" w:right="1800" w:bottom="1440" w:left="1800" w:header="720" w:footer="720" w:gutter="0"/>
          <w:pgNumType w:fmt="numberInDash"/>
          <w:cols w:space="720" w:num="1"/>
          <w:docGrid w:type="lines" w:linePitch="312" w:charSpace="0"/>
        </w:sectPr>
      </w:pPr>
      <w:r>
        <w:rPr>
          <w:rFonts w:hint="eastAsia"/>
          <w:lang w:val="en-US" w:eastAsia="zh-CN"/>
        </w:rPr>
        <w:tab/>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一、财政拨款收入：</w:t>
      </w:r>
      <w:r>
        <w:rPr>
          <w:rFonts w:hint="eastAsia" w:ascii="仿宋_GB2312" w:hAnsi="仿宋_GB2312" w:eastAsia="仿宋_GB2312" w:cs="仿宋_GB2312"/>
          <w:color w:val="auto"/>
          <w:sz w:val="32"/>
          <w:szCs w:val="32"/>
          <w:highlight w:val="none"/>
          <w:lang w:val="en-US" w:eastAsia="zh-CN"/>
        </w:rPr>
        <w:t>单位从同级政府财政部门取得的财政预算资金。</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八、基本支出：为保障机构正常运转、完成日常工作任务而发生的人员支出和公用支出。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九、项目支出：基本支出之外为完成特定行政任务和事业发展目标所发生的支出。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十五、年末结转：本年度或以前年度预算安排，已执行但尚未完成或因客观条件发生变化无法按原计划实施，需延迟到以后年度按有关规定继续使用的资金。</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十六、年末结余：本年度或以前年度预算安排，已执行完毕或因客观条件发生变化无法按原预算安排实施，不需要再使用或无法按原预算安排继续使用的资金。</w:t>
      </w:r>
    </w:p>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pPr>
        <w:widowControl/>
        <w:jc w:val="left"/>
        <w:rPr>
          <w:rFonts w:hint="eastAsia" w:ascii="黑体" w:hAnsi="宋体" w:eastAsia="黑体" w:cs="宋体"/>
          <w:color w:val="auto"/>
          <w:kern w:val="0"/>
          <w:sz w:val="28"/>
          <w:szCs w:val="28"/>
          <w:highlight w:val="none"/>
          <w:lang w:val="en-US" w:eastAsia="zh-CN"/>
        </w:rPr>
      </w:pPr>
    </w:p>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- 3 -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- 3 -</w:t>
                    </w:r>
                    <w:r>
                      <w:rPr>
                        <w:rFonts w:hint="eastAsia"/>
                        <w:sz w:val="18"/>
                        <w:lang w:eastAsia="zh-CN"/>
                      </w:rPr>
                      <w:fldChar w:fldCharType="end"/>
                    </w:r>
                  </w:p>
                </w:txbxContent>
              </v:textbox>
            </v:shape>
          </w:pict>
        </mc:Fallback>
      </mc:AlternateContent>
    </w: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lang w:eastAsia="zh-CN"/>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RqoqKrgEAAEsD&#10;AAAOAAAAAAAAAAEAIAAAAB4BAABkcnMvZTJvRG9jLnhtbFBLBQYAAAAABgAGAFkBAAA+BQAAAAA=&#10;">
              <v:fill on="f" focussize="0,0"/>
              <v:stroke on="f"/>
              <v:imagedata o:title=""/>
              <o:lock v:ext="edit" aspectratio="f"/>
              <v:textbox inset="0mm,0mm,0mm,0mm" style="mso-fit-shape-to-text:t;">
                <w:txbxContent>
                  <w:p>
                    <w:pPr>
                      <w:rPr>
                        <w:rFonts w:hint="eastAsia"/>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- 2 -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hzD29rgEAAEsD&#10;AAAOAAAAAAAAAAEAIAAAAB4BAABkcnMvZTJvRG9jLnhtbFBLBQYAAAAABgAGAFkBAAA+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- 2 -</w:t>
                    </w:r>
                    <w:r>
                      <w:rPr>
                        <w:rFonts w:hint="eastAsia"/>
                        <w:sz w:val="1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1555BB"/>
    <w:multiLevelType w:val="singleLevel"/>
    <w:tmpl w:val="961555BB"/>
    <w:lvl w:ilvl="0" w:tentative="0">
      <w:start w:val="1"/>
      <w:numFmt w:val="chineseCounting"/>
      <w:suff w:val="space"/>
      <w:lvlText w:val="第%1部分"/>
      <w:lvlJc w:val="left"/>
      <w:rPr>
        <w:rFonts w:hint="eastAsia"/>
      </w:rPr>
    </w:lvl>
  </w:abstractNum>
  <w:abstractNum w:abstractNumId="1">
    <w:nsid w:val="D399F6E0"/>
    <w:multiLevelType w:val="singleLevel"/>
    <w:tmpl w:val="D399F6E0"/>
    <w:lvl w:ilvl="0" w:tentative="0">
      <w:start w:val="2"/>
      <w:numFmt w:val="chineseCounting"/>
      <w:suff w:val="nothing"/>
      <w:lvlText w:val="（%1）"/>
      <w:lvlJc w:val="left"/>
      <w:rPr>
        <w:rFonts w:hint="eastAsia"/>
      </w:rPr>
    </w:lvl>
  </w:abstractNum>
  <w:abstractNum w:abstractNumId="2">
    <w:nsid w:val="00000005"/>
    <w:multiLevelType w:val="singleLevel"/>
    <w:tmpl w:val="00000005"/>
    <w:lvl w:ilvl="0" w:tentative="0">
      <w:start w:val="1"/>
      <w:numFmt w:val="decimal"/>
      <w:suff w:val="nothing"/>
      <w:lvlText w:val="%1．"/>
      <w:lvlJc w:val="left"/>
    </w:lvl>
  </w:abstractNum>
  <w:abstractNum w:abstractNumId="3">
    <w:nsid w:val="0000000A"/>
    <w:multiLevelType w:val="singleLevel"/>
    <w:tmpl w:val="0000000A"/>
    <w:lvl w:ilvl="0" w:tentative="0">
      <w:start w:val="1"/>
      <w:numFmt w:val="chineseCounting"/>
      <w:suff w:val="nothing"/>
      <w:lvlText w:val="%1、"/>
      <w:lvlJc w:val="left"/>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956FB9"/>
    <w:rsid w:val="02633B76"/>
    <w:rsid w:val="040B6E17"/>
    <w:rsid w:val="05EA2C7F"/>
    <w:rsid w:val="0E9F6BEF"/>
    <w:rsid w:val="1139602A"/>
    <w:rsid w:val="16A76630"/>
    <w:rsid w:val="16BD0005"/>
    <w:rsid w:val="172E57BE"/>
    <w:rsid w:val="18C24A23"/>
    <w:rsid w:val="19832E5B"/>
    <w:rsid w:val="1C3C17C5"/>
    <w:rsid w:val="1D947325"/>
    <w:rsid w:val="1DA242B9"/>
    <w:rsid w:val="1F2A37EE"/>
    <w:rsid w:val="1FE13C83"/>
    <w:rsid w:val="205B2EF8"/>
    <w:rsid w:val="243F6AB4"/>
    <w:rsid w:val="24956FB9"/>
    <w:rsid w:val="25BA7C44"/>
    <w:rsid w:val="275D4363"/>
    <w:rsid w:val="281830DA"/>
    <w:rsid w:val="2FE73AA0"/>
    <w:rsid w:val="337E78D6"/>
    <w:rsid w:val="3486764F"/>
    <w:rsid w:val="353A6B0B"/>
    <w:rsid w:val="36575B6D"/>
    <w:rsid w:val="3A5B1A1F"/>
    <w:rsid w:val="3B67213C"/>
    <w:rsid w:val="3E5B5DC2"/>
    <w:rsid w:val="3E605087"/>
    <w:rsid w:val="3E782BF0"/>
    <w:rsid w:val="4749512C"/>
    <w:rsid w:val="4A2774DD"/>
    <w:rsid w:val="4D1E235A"/>
    <w:rsid w:val="523319AA"/>
    <w:rsid w:val="523B671B"/>
    <w:rsid w:val="5257171C"/>
    <w:rsid w:val="56622195"/>
    <w:rsid w:val="58196061"/>
    <w:rsid w:val="58D44498"/>
    <w:rsid w:val="5BFC4BDB"/>
    <w:rsid w:val="5DB33B3A"/>
    <w:rsid w:val="5DC51742"/>
    <w:rsid w:val="5F936617"/>
    <w:rsid w:val="61A204E1"/>
    <w:rsid w:val="62A43260"/>
    <w:rsid w:val="6657414A"/>
    <w:rsid w:val="68565A57"/>
    <w:rsid w:val="69353F2B"/>
    <w:rsid w:val="6A465419"/>
    <w:rsid w:val="6B5B5E9C"/>
    <w:rsid w:val="6CA27916"/>
    <w:rsid w:val="78A907DA"/>
    <w:rsid w:val="7C0B2809"/>
    <w:rsid w:val="7E3712DC"/>
    <w:rsid w:val="7E566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2"/>
      <w:sz w:val="18"/>
      <w:szCs w:val="18"/>
    </w:rPr>
  </w:style>
  <w:style w:type="character" w:customStyle="1" w:styleId="5">
    <w:name w:val="font11"/>
    <w:basedOn w:val="4"/>
    <w:qFormat/>
    <w:uiPriority w:val="0"/>
    <w:rPr>
      <w:rFonts w:hint="eastAsia" w:ascii="宋体" w:hAnsi="宋体" w:eastAsia="宋体" w:cs="宋体"/>
      <w:color w:val="000000"/>
      <w:sz w:val="20"/>
      <w:szCs w:val="20"/>
      <w:u w:val="none"/>
    </w:rPr>
  </w:style>
  <w:style w:type="character" w:customStyle="1" w:styleId="6">
    <w:name w:val="font01"/>
    <w:basedOn w:val="4"/>
    <w:qFormat/>
    <w:uiPriority w:val="0"/>
    <w:rPr>
      <w:rFonts w:hint="eastAsia" w:ascii="宋体" w:hAnsi="宋体" w:eastAsia="宋体" w:cs="宋体"/>
      <w:color w:val="000000"/>
      <w:sz w:val="22"/>
      <w:szCs w:val="22"/>
      <w:u w:val="none"/>
    </w:rPr>
  </w:style>
  <w:style w:type="character" w:customStyle="1" w:styleId="7">
    <w:name w:val="font51"/>
    <w:basedOn w:val="4"/>
    <w:qFormat/>
    <w:uiPriority w:val="0"/>
    <w:rPr>
      <w:rFonts w:hint="eastAsia" w:ascii="宋体" w:hAnsi="宋体" w:eastAsia="宋体" w:cs="宋体"/>
      <w:color w:val="000000"/>
      <w:sz w:val="24"/>
      <w:szCs w:val="24"/>
      <w:u w:val="none"/>
    </w:rPr>
  </w:style>
  <w:style w:type="character" w:customStyle="1" w:styleId="8">
    <w:name w:val="font4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2020-10-10T08:40:00Z</dcterms:created>
  <dc:creator>Administrator</dc:creator>
  <cp:lastModifiedBy>Administrator</cp:lastModifiedBy>
  <dcterms:modified xsi:type="dcterms:W3CDTF">2021-06-12T11:57:06Z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