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eastAsia="方正小标宋简体"/>
          <w:sz w:val="44"/>
          <w:szCs w:val="44"/>
        </w:rPr>
      </w:pPr>
    </w:p>
    <w:p>
      <w:pPr>
        <w:jc w:val="center"/>
        <w:rPr>
          <w:rFonts w:hint="eastAsia" w:ascii="黑体" w:hAnsi="黑体" w:eastAsia="黑体" w:cs="黑体"/>
          <w:sz w:val="52"/>
          <w:szCs w:val="52"/>
        </w:rPr>
      </w:pPr>
      <w:r>
        <w:rPr>
          <w:rFonts w:hint="eastAsia" w:ascii="黑体" w:hAnsi="黑体" w:eastAsia="黑体" w:cs="黑体"/>
          <w:sz w:val="52"/>
          <w:szCs w:val="52"/>
        </w:rPr>
        <w:t>2019年度</w:t>
      </w:r>
    </w:p>
    <w:p>
      <w:pPr>
        <w:jc w:val="center"/>
        <w:rPr>
          <w:rFonts w:hint="eastAsia" w:ascii="黑体" w:hAnsi="黑体" w:eastAsia="黑体" w:cs="黑体"/>
          <w:sz w:val="52"/>
          <w:szCs w:val="52"/>
        </w:rPr>
      </w:pPr>
      <w:r>
        <w:rPr>
          <w:rFonts w:hint="eastAsia" w:ascii="黑体" w:hAnsi="黑体" w:eastAsia="黑体" w:cs="黑体"/>
          <w:sz w:val="52"/>
          <w:szCs w:val="52"/>
        </w:rPr>
        <w:t>周口市淮阳龙湖风景名胜区保护中心</w:t>
      </w:r>
    </w:p>
    <w:p>
      <w:pPr>
        <w:jc w:val="center"/>
        <w:rPr>
          <w:rFonts w:hint="eastAsia" w:ascii="黑体" w:hAnsi="黑体" w:eastAsia="黑体" w:cs="黑体"/>
          <w:sz w:val="52"/>
          <w:szCs w:val="52"/>
        </w:rPr>
      </w:pPr>
      <w:r>
        <w:rPr>
          <w:rFonts w:hint="eastAsia" w:ascii="黑体" w:hAnsi="黑体" w:eastAsia="黑体" w:cs="黑体"/>
          <w:sz w:val="52"/>
          <w:szCs w:val="52"/>
        </w:rPr>
        <w:t>部门决算</w:t>
      </w: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both"/>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黑体" w:hAnsi="黑体" w:eastAsia="黑体" w:cs="黑体"/>
          <w:sz w:val="32"/>
          <w:szCs w:val="32"/>
          <w:lang w:val="en-US" w:eastAsia="zh-CN"/>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二0二0年九月</w:t>
      </w:r>
    </w:p>
    <w:p>
      <w:pPr>
        <w:jc w:val="both"/>
        <w:rPr>
          <w:rFonts w:hint="eastAsia" w:ascii="方正小标宋简体" w:eastAsia="方正小标宋简体"/>
          <w:sz w:val="44"/>
          <w:szCs w:val="44"/>
        </w:rPr>
      </w:pPr>
    </w:p>
    <w:p>
      <w:pPr>
        <w:jc w:val="center"/>
        <w:rPr>
          <w:rFonts w:hint="eastAsia" w:ascii="黑体" w:hAnsi="黑体" w:eastAsia="黑体" w:cs="黑体"/>
          <w:sz w:val="36"/>
          <w:szCs w:val="36"/>
        </w:rPr>
      </w:pPr>
      <w:r>
        <w:rPr>
          <w:rFonts w:hint="eastAsia" w:ascii="黑体" w:hAnsi="黑体" w:eastAsia="黑体" w:cs="黑体"/>
          <w:sz w:val="36"/>
          <w:szCs w:val="36"/>
        </w:rPr>
        <w:t>目 录</w:t>
      </w:r>
    </w:p>
    <w:p>
      <w:pPr>
        <w:jc w:val="left"/>
        <w:rPr>
          <w:rFonts w:hint="eastAsia" w:ascii="黑体" w:hAnsi="黑体" w:eastAsia="黑体" w:cs="黑体"/>
          <w:sz w:val="32"/>
          <w:szCs w:val="32"/>
        </w:rPr>
      </w:pPr>
      <w:r>
        <w:rPr>
          <w:rFonts w:hint="eastAsia" w:ascii="黑体" w:hAnsi="黑体" w:eastAsia="黑体" w:cs="黑体"/>
          <w:sz w:val="32"/>
          <w:szCs w:val="32"/>
        </w:rPr>
        <w:t>第一部分   淮阳龙湖风景名胜区保护中心概况</w:t>
      </w:r>
    </w:p>
    <w:p>
      <w:pPr>
        <w:ind w:firstLine="640" w:firstLineChars="200"/>
        <w:rPr>
          <w:rFonts w:ascii="仿宋_GB2312" w:eastAsia="仿宋_GB2312"/>
          <w:sz w:val="32"/>
          <w:szCs w:val="32"/>
        </w:rPr>
      </w:pPr>
      <w:r>
        <w:rPr>
          <w:rFonts w:hint="eastAsia" w:ascii="仿宋_GB2312" w:eastAsia="仿宋_GB2312"/>
          <w:sz w:val="32"/>
          <w:szCs w:val="32"/>
        </w:rPr>
        <w:t>一、主要职能</w:t>
      </w:r>
    </w:p>
    <w:p>
      <w:pPr>
        <w:ind w:firstLine="640" w:firstLineChars="200"/>
        <w:rPr>
          <w:rFonts w:ascii="仿宋_GB2312" w:eastAsia="仿宋_GB2312"/>
          <w:sz w:val="32"/>
          <w:szCs w:val="32"/>
        </w:rPr>
      </w:pPr>
      <w:r>
        <w:rPr>
          <w:rFonts w:hint="eastAsia" w:ascii="仿宋_GB2312" w:eastAsia="仿宋_GB2312"/>
          <w:sz w:val="32"/>
          <w:szCs w:val="32"/>
        </w:rPr>
        <w:t>二、部门决算单位构成</w:t>
      </w:r>
    </w:p>
    <w:p>
      <w:pPr>
        <w:jc w:val="left"/>
        <w:rPr>
          <w:rFonts w:hint="eastAsia" w:ascii="黑体" w:hAnsi="黑体" w:eastAsia="黑体" w:cs="黑体"/>
          <w:sz w:val="32"/>
          <w:szCs w:val="32"/>
        </w:rPr>
      </w:pPr>
      <w:r>
        <w:rPr>
          <w:rFonts w:hint="eastAsia" w:ascii="黑体" w:hAnsi="黑体" w:eastAsia="黑体" w:cs="黑体"/>
          <w:sz w:val="32"/>
          <w:szCs w:val="32"/>
        </w:rPr>
        <w:t>第二部分　　2019年度部门决算表</w:t>
      </w:r>
    </w:p>
    <w:p>
      <w:pPr>
        <w:ind w:firstLine="640" w:firstLineChars="200"/>
        <w:jc w:val="left"/>
        <w:rPr>
          <w:rFonts w:ascii="宋体" w:hAnsi="宋体" w:cs="宋体"/>
          <w:sz w:val="32"/>
          <w:szCs w:val="32"/>
        </w:rPr>
      </w:pPr>
      <w:r>
        <w:rPr>
          <w:rFonts w:hint="eastAsia" w:ascii="宋体" w:hAnsi="宋体" w:cs="宋体"/>
          <w:sz w:val="32"/>
          <w:szCs w:val="32"/>
        </w:rPr>
        <w:t>一、收入支出决算总表</w:t>
      </w:r>
    </w:p>
    <w:p>
      <w:pPr>
        <w:ind w:firstLine="640" w:firstLineChars="200"/>
        <w:jc w:val="left"/>
        <w:rPr>
          <w:rFonts w:ascii="宋体" w:hAnsi="宋体" w:cs="宋体"/>
          <w:sz w:val="32"/>
          <w:szCs w:val="32"/>
        </w:rPr>
      </w:pPr>
      <w:r>
        <w:rPr>
          <w:rFonts w:hint="eastAsia" w:ascii="宋体" w:hAnsi="宋体" w:cs="宋体"/>
          <w:sz w:val="32"/>
          <w:szCs w:val="32"/>
        </w:rPr>
        <w:t>二、收入决算表</w:t>
      </w:r>
    </w:p>
    <w:p>
      <w:pPr>
        <w:ind w:firstLine="640" w:firstLineChars="200"/>
        <w:jc w:val="left"/>
        <w:rPr>
          <w:rFonts w:ascii="宋体" w:hAnsi="宋体" w:cs="宋体"/>
          <w:sz w:val="32"/>
          <w:szCs w:val="32"/>
        </w:rPr>
      </w:pPr>
      <w:r>
        <w:rPr>
          <w:rFonts w:hint="eastAsia" w:ascii="宋体" w:hAnsi="宋体" w:cs="宋体"/>
          <w:sz w:val="32"/>
          <w:szCs w:val="32"/>
        </w:rPr>
        <w:t>三、支出决算表</w:t>
      </w:r>
    </w:p>
    <w:p>
      <w:pPr>
        <w:ind w:firstLine="640" w:firstLineChars="200"/>
        <w:jc w:val="left"/>
        <w:rPr>
          <w:rFonts w:ascii="宋体" w:hAnsi="宋体" w:cs="宋体"/>
          <w:sz w:val="32"/>
          <w:szCs w:val="32"/>
        </w:rPr>
      </w:pPr>
      <w:r>
        <w:rPr>
          <w:rFonts w:hint="eastAsia" w:ascii="宋体" w:hAnsi="宋体" w:cs="宋体"/>
          <w:sz w:val="32"/>
          <w:szCs w:val="32"/>
        </w:rPr>
        <w:t>四、财政拨款收入支出决算总表</w:t>
      </w:r>
    </w:p>
    <w:p>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五、一般公共预算财政拨款支出决算表</w:t>
      </w:r>
    </w:p>
    <w:p>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六、一般公共预算财政拨款基本支出决算表</w:t>
      </w:r>
    </w:p>
    <w:p>
      <w:pPr>
        <w:ind w:firstLine="640" w:firstLineChars="200"/>
        <w:jc w:val="left"/>
        <w:rPr>
          <w:rFonts w:ascii="宋体" w:hAnsi="宋体" w:cs="宋体"/>
          <w:sz w:val="32"/>
          <w:szCs w:val="32"/>
        </w:rPr>
      </w:pPr>
      <w:r>
        <w:rPr>
          <w:rFonts w:hint="eastAsia" w:ascii="宋体" w:hAnsi="宋体" w:cs="宋体"/>
          <w:sz w:val="32"/>
          <w:szCs w:val="32"/>
        </w:rPr>
        <w:t>七、一般公共预算财政拨款“三公”经费支出决算表</w:t>
      </w:r>
    </w:p>
    <w:p>
      <w:pPr>
        <w:ind w:firstLine="640" w:firstLineChars="200"/>
        <w:jc w:val="left"/>
        <w:rPr>
          <w:rFonts w:hint="eastAsia" w:ascii="宋体" w:hAnsi="宋体" w:cs="宋体"/>
          <w:sz w:val="32"/>
          <w:szCs w:val="32"/>
        </w:rPr>
      </w:pPr>
      <w:r>
        <w:rPr>
          <w:rFonts w:hint="eastAsia" w:ascii="宋体" w:hAnsi="宋体" w:cs="宋体"/>
          <w:sz w:val="32"/>
          <w:szCs w:val="32"/>
        </w:rPr>
        <w:t>八、政府性基金预算财政拨款收入支出决算表</w:t>
      </w:r>
    </w:p>
    <w:p>
      <w:pPr>
        <w:jc w:val="left"/>
        <w:rPr>
          <w:rFonts w:hint="eastAsia" w:ascii="黑体" w:hAnsi="黑体" w:eastAsia="黑体" w:cs="黑体"/>
          <w:sz w:val="32"/>
          <w:szCs w:val="32"/>
        </w:rPr>
      </w:pPr>
      <w:r>
        <w:rPr>
          <w:rFonts w:hint="eastAsia" w:ascii="黑体" w:hAnsi="黑体" w:eastAsia="黑体" w:cs="黑体"/>
          <w:sz w:val="32"/>
          <w:szCs w:val="32"/>
        </w:rPr>
        <w:t>第三部分　　2019年度部门决算情况说明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一、收入支出决算总体情况说明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二、收入决算情况说明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三、支出决算情况说明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四、财政拨款收入支出决算总体情况说明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五、一般公共预算财政拨款支出决算情况说明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六、一般公共预算财政拨款基本支出决算情况说明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七、一般公共预算财政拨款“三公”经费支出决算情况说明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八、预算绩效情况说明</w:t>
      </w:r>
    </w:p>
    <w:p>
      <w:pPr>
        <w:ind w:firstLine="640" w:firstLineChars="200"/>
        <w:jc w:val="left"/>
        <w:rPr>
          <w:rFonts w:hint="eastAsia" w:ascii="宋体" w:hAnsi="宋体" w:cs="宋体"/>
          <w:sz w:val="32"/>
          <w:szCs w:val="32"/>
        </w:rPr>
      </w:pPr>
      <w:r>
        <w:rPr>
          <w:rFonts w:hint="eastAsia" w:ascii="宋体" w:hAnsi="宋体" w:cs="宋体"/>
          <w:sz w:val="32"/>
          <w:szCs w:val="32"/>
        </w:rPr>
        <w:t>九、政府性基金预算财政拨款支出决算情况说明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十、机关运行经费支出情况说明</w:t>
      </w:r>
    </w:p>
    <w:p>
      <w:pPr>
        <w:ind w:firstLine="640" w:firstLineChars="200"/>
        <w:jc w:val="left"/>
        <w:rPr>
          <w:rFonts w:hint="eastAsia" w:ascii="宋体" w:hAnsi="宋体" w:cs="宋体"/>
          <w:sz w:val="32"/>
          <w:szCs w:val="32"/>
        </w:rPr>
      </w:pPr>
      <w:r>
        <w:rPr>
          <w:rFonts w:hint="eastAsia" w:ascii="宋体" w:hAnsi="宋体" w:cs="宋体"/>
          <w:sz w:val="32"/>
          <w:szCs w:val="32"/>
        </w:rPr>
        <w:t>十一、政府采购支出情况说明</w:t>
      </w:r>
    </w:p>
    <w:p>
      <w:pPr>
        <w:ind w:firstLine="640" w:firstLineChars="200"/>
        <w:jc w:val="left"/>
        <w:rPr>
          <w:rFonts w:hint="eastAsia" w:ascii="宋体" w:hAnsi="宋体" w:cs="宋体"/>
          <w:sz w:val="32"/>
          <w:szCs w:val="32"/>
        </w:rPr>
      </w:pPr>
      <w:r>
        <w:rPr>
          <w:rFonts w:hint="eastAsia" w:ascii="宋体" w:hAnsi="宋体" w:cs="宋体"/>
          <w:sz w:val="32"/>
          <w:szCs w:val="32"/>
        </w:rPr>
        <w:t>十二、国有资产占用情况说明</w:t>
      </w:r>
    </w:p>
    <w:p>
      <w:pPr>
        <w:jc w:val="left"/>
        <w:rPr>
          <w:rFonts w:hint="eastAsia" w:ascii="黑体" w:hAnsi="黑体" w:eastAsia="黑体" w:cs="黑体"/>
          <w:sz w:val="32"/>
          <w:szCs w:val="32"/>
        </w:rPr>
      </w:pPr>
      <w:r>
        <w:rPr>
          <w:rFonts w:hint="eastAsia" w:ascii="黑体" w:hAnsi="黑体" w:eastAsia="黑体" w:cs="黑体"/>
          <w:sz w:val="32"/>
          <w:szCs w:val="32"/>
        </w:rPr>
        <w:t>第四部分　　名词解释</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shd w:val="clear" w:color="auto" w:fill="FFFFFF"/>
        <w:spacing w:line="408" w:lineRule="atLeast"/>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 </w:t>
      </w:r>
    </w:p>
    <w:p>
      <w:pPr>
        <w:jc w:val="center"/>
        <w:rPr>
          <w:rFonts w:hint="eastAsia" w:ascii="黑体" w:hAnsi="黑体" w:eastAsia="黑体" w:cs="黑体"/>
          <w:b/>
          <w:sz w:val="48"/>
          <w:szCs w:val="48"/>
        </w:rPr>
      </w:pPr>
      <w:r>
        <w:rPr>
          <w:rStyle w:val="6"/>
          <w:rFonts w:hint="eastAsia" w:ascii="黑体" w:hAnsi="黑体" w:eastAsia="黑体" w:cs="黑体"/>
          <w:b w:val="0"/>
          <w:color w:val="000000" w:themeColor="text1"/>
          <w:kern w:val="0"/>
          <w:sz w:val="48"/>
          <w:szCs w:val="48"/>
          <w:shd w:val="clear" w:color="auto" w:fill="FFFFFF"/>
        </w:rPr>
        <w:t>第一部分</w:t>
      </w:r>
      <w:r>
        <w:rPr>
          <w:rFonts w:hint="eastAsia" w:ascii="黑体" w:hAnsi="黑体" w:eastAsia="黑体" w:cs="黑体"/>
          <w:b/>
          <w:sz w:val="48"/>
          <w:szCs w:val="48"/>
        </w:rPr>
        <w:t xml:space="preserve">  概况</w:t>
      </w:r>
    </w:p>
    <w:p>
      <w:pPr>
        <w:widowControl/>
        <w:shd w:val="clear" w:color="auto" w:fill="FFFFFF"/>
        <w:spacing w:line="408" w:lineRule="atLeast"/>
        <w:jc w:val="center"/>
        <w:rPr>
          <w:rStyle w:val="6"/>
          <w:rFonts w:ascii="仿宋_GB2312" w:hAnsi="仿宋_GB2312" w:eastAsia="仿宋_GB2312" w:cs="仿宋_GB2312"/>
          <w:b w:val="0"/>
          <w:color w:val="000000" w:themeColor="text1"/>
          <w:kern w:val="0"/>
          <w:sz w:val="44"/>
          <w:szCs w:val="44"/>
          <w:shd w:val="clear" w:color="auto" w:fill="FFFFFF"/>
        </w:rPr>
      </w:pPr>
    </w:p>
    <w:p>
      <w:pPr>
        <w:widowControl/>
        <w:ind w:left="720" w:hanging="720"/>
        <w:jc w:val="left"/>
        <w:rPr>
          <w:rFonts w:ascii="黑体" w:hAnsi="黑体" w:eastAsia="黑体" w:cs="黑体"/>
          <w:color w:val="000000" w:themeColor="text1"/>
          <w:sz w:val="32"/>
          <w:szCs w:val="32"/>
        </w:rPr>
      </w:pPr>
      <w:r>
        <w:rPr>
          <w:rFonts w:hint="eastAsia" w:ascii="黑体" w:hAnsi="黑体" w:eastAsia="黑体" w:cs="黑体"/>
          <w:color w:val="000000" w:themeColor="text1"/>
          <w:kern w:val="0"/>
          <w:sz w:val="32"/>
          <w:szCs w:val="32"/>
          <w:shd w:val="clear" w:color="auto" w:fill="FFFFFF"/>
        </w:rPr>
        <w:t>一、主要职责</w:t>
      </w:r>
    </w:p>
    <w:p>
      <w:pPr>
        <w:widowControl/>
        <w:ind w:left="105" w:leftChars="50" w:firstLine="640" w:firstLineChars="200"/>
        <w:jc w:val="left"/>
        <w:rPr>
          <w:rFonts w:ascii="黑体" w:hAnsi="黑体" w:eastAsia="黑体" w:cs="黑体"/>
          <w:color w:val="000000" w:themeColor="text1"/>
          <w:sz w:val="32"/>
          <w:szCs w:val="32"/>
        </w:rPr>
      </w:pPr>
      <w:r>
        <w:rPr>
          <w:rFonts w:hint="eastAsia" w:ascii="仿宋_GB2312" w:hAnsi="宋体" w:eastAsia="仿宋_GB2312" w:cs="仿宋_GB2312"/>
          <w:color w:val="000000" w:themeColor="text1"/>
          <w:kern w:val="0"/>
          <w:sz w:val="32"/>
          <w:szCs w:val="32"/>
          <w:shd w:val="clear" w:color="auto" w:fill="FFFFFF"/>
        </w:rPr>
        <w:t>1.负责编制龙湖风景名胜区详细规划，并按程序批报后组织实施。负责编制风景区建设，环境保护，园林绿化等方面的规划。对需要审批的按规定逐级上报审批。</w:t>
      </w:r>
    </w:p>
    <w:p>
      <w:pPr>
        <w:widowControl/>
        <w:ind w:left="105" w:leftChars="50" w:firstLine="640" w:firstLineChars="200"/>
        <w:jc w:val="left"/>
        <w:rPr>
          <w:rFonts w:ascii="黑体" w:hAnsi="黑体" w:eastAsia="黑体" w:cs="黑体"/>
          <w:color w:val="000000" w:themeColor="text1"/>
          <w:sz w:val="32"/>
          <w:szCs w:val="32"/>
        </w:rPr>
      </w:pPr>
      <w:r>
        <w:rPr>
          <w:rFonts w:hint="eastAsia" w:ascii="仿宋_GB2312" w:hAnsi="宋体" w:eastAsia="仿宋_GB2312" w:cs="仿宋_GB2312"/>
          <w:color w:val="000000" w:themeColor="text1"/>
          <w:kern w:val="0"/>
          <w:sz w:val="32"/>
          <w:szCs w:val="32"/>
          <w:shd w:val="clear" w:color="auto" w:fill="FFFFFF"/>
        </w:rPr>
        <w:t>2.制定风景名胜区管理制度，负责风景区内的规划，建设土地保护、旅游开发、安全保卫、环境保护、卫生监督等管理工作。</w:t>
      </w:r>
    </w:p>
    <w:p>
      <w:pPr>
        <w:widowControl/>
        <w:ind w:left="105" w:leftChars="50" w:firstLine="640" w:firstLineChars="200"/>
        <w:jc w:val="left"/>
        <w:rPr>
          <w:rFonts w:ascii="黑体" w:hAnsi="黑体" w:eastAsia="黑体" w:cs="黑体"/>
          <w:color w:val="000000" w:themeColor="text1"/>
          <w:sz w:val="32"/>
          <w:szCs w:val="32"/>
        </w:rPr>
      </w:pPr>
      <w:r>
        <w:rPr>
          <w:rFonts w:hint="eastAsia" w:ascii="仿宋_GB2312" w:hAnsi="宋体" w:eastAsia="仿宋_GB2312" w:cs="仿宋_GB2312"/>
          <w:color w:val="000000" w:themeColor="text1"/>
          <w:kern w:val="0"/>
          <w:sz w:val="32"/>
          <w:szCs w:val="32"/>
          <w:shd w:val="clear" w:color="auto" w:fill="FFFFFF"/>
        </w:rPr>
        <w:t>3.按照龙湖风景名胜区总体规划，对景区范围内的所有建设，开发和经营活动实行监督管理，负责风景区内建设项目规划工作。</w:t>
      </w:r>
    </w:p>
    <w:p>
      <w:pPr>
        <w:widowControl/>
        <w:ind w:left="105" w:leftChars="50" w:firstLine="640" w:firstLineChars="200"/>
        <w:jc w:val="left"/>
        <w:rPr>
          <w:rFonts w:ascii="黑体" w:hAnsi="黑体" w:eastAsia="黑体" w:cs="黑体"/>
          <w:color w:val="000000" w:themeColor="text1"/>
          <w:sz w:val="32"/>
          <w:szCs w:val="32"/>
        </w:rPr>
      </w:pPr>
      <w:r>
        <w:rPr>
          <w:rFonts w:hint="eastAsia" w:ascii="仿宋_GB2312" w:hAnsi="宋体" w:eastAsia="仿宋_GB2312" w:cs="仿宋_GB2312"/>
          <w:color w:val="000000" w:themeColor="text1"/>
          <w:kern w:val="0"/>
          <w:sz w:val="32"/>
          <w:szCs w:val="32"/>
          <w:shd w:val="clear" w:color="auto" w:fill="FFFFFF"/>
        </w:rPr>
        <w:t>4.配合有关部门查处违反《风景名胜区管理暂行条例》，风景名胜区总体规划及有关法律、法规、规定的行为。</w:t>
      </w:r>
    </w:p>
    <w:p>
      <w:pPr>
        <w:widowControl/>
        <w:ind w:left="105" w:leftChars="50" w:firstLine="640" w:firstLineChars="200"/>
        <w:jc w:val="left"/>
        <w:rPr>
          <w:rFonts w:ascii="黑体" w:hAnsi="黑体" w:eastAsia="黑体" w:cs="黑体"/>
          <w:color w:val="000000" w:themeColor="text1"/>
          <w:sz w:val="32"/>
          <w:szCs w:val="32"/>
        </w:rPr>
      </w:pPr>
      <w:r>
        <w:rPr>
          <w:rFonts w:hint="eastAsia" w:ascii="仿宋_GB2312" w:hAnsi="宋体" w:eastAsia="仿宋_GB2312" w:cs="仿宋_GB2312"/>
          <w:color w:val="000000" w:themeColor="text1"/>
          <w:kern w:val="0"/>
          <w:sz w:val="32"/>
          <w:szCs w:val="32"/>
          <w:shd w:val="clear" w:color="auto" w:fill="FFFFFF"/>
        </w:rPr>
        <w:t>5.做好风景区的水资源保护工作，做好旅游规划、开发、建设等工作，发展生态旅游业。</w:t>
      </w:r>
    </w:p>
    <w:p>
      <w:pPr>
        <w:widowControl/>
        <w:ind w:left="105" w:leftChars="50" w:firstLine="640" w:firstLineChars="200"/>
        <w:jc w:val="left"/>
        <w:rPr>
          <w:rFonts w:ascii="黑体" w:hAnsi="黑体" w:eastAsia="黑体" w:cs="黑体"/>
          <w:color w:val="000000" w:themeColor="text1"/>
          <w:sz w:val="32"/>
          <w:szCs w:val="32"/>
        </w:rPr>
      </w:pPr>
      <w:r>
        <w:rPr>
          <w:rFonts w:hint="eastAsia" w:ascii="仿宋_GB2312" w:hAnsi="宋体" w:eastAsia="仿宋_GB2312" w:cs="仿宋_GB2312"/>
          <w:color w:val="000000" w:themeColor="text1"/>
          <w:kern w:val="0"/>
          <w:sz w:val="32"/>
          <w:szCs w:val="32"/>
          <w:shd w:val="clear" w:color="auto" w:fill="FFFFFF"/>
        </w:rPr>
        <w:t>6.承办县委、县政府交办的其他事项。</w:t>
      </w:r>
    </w:p>
    <w:p>
      <w:pPr>
        <w:widowControl/>
        <w:ind w:left="105" w:leftChars="50" w:firstLine="640" w:firstLineChars="200"/>
        <w:jc w:val="left"/>
        <w:rPr>
          <w:rFonts w:ascii="黑体" w:hAnsi="黑体" w:eastAsia="黑体" w:cs="黑体"/>
          <w:color w:val="000000" w:themeColor="text1"/>
          <w:sz w:val="32"/>
          <w:szCs w:val="32"/>
        </w:rPr>
      </w:pPr>
      <w:r>
        <w:rPr>
          <w:rFonts w:hint="eastAsia" w:ascii="黑体" w:hAnsi="黑体" w:eastAsia="黑体" w:cs="黑体"/>
          <w:color w:val="000000" w:themeColor="text1"/>
          <w:kern w:val="0"/>
          <w:sz w:val="32"/>
          <w:szCs w:val="32"/>
          <w:shd w:val="clear" w:color="auto" w:fill="FFFFFF"/>
        </w:rPr>
        <w:t>二、机构设置</w:t>
      </w:r>
    </w:p>
    <w:p>
      <w:pPr>
        <w:ind w:firstLine="960" w:firstLineChars="300"/>
        <w:jc w:val="left"/>
        <w:rPr>
          <w:rFonts w:hint="eastAsia"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淮阳龙湖风景名胜区保护中心机关事业编制为17名，单位性质事业，经费预算性质财政全供，内设3个职能科室：办公室、 规划股、执法队。</w:t>
      </w:r>
    </w:p>
    <w:p>
      <w:pPr>
        <w:ind w:firstLine="960" w:firstLineChars="300"/>
        <w:jc w:val="left"/>
        <w:rPr>
          <w:rFonts w:hint="eastAsia"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从决算单位构成看，淮阳龙湖风景名胜区保护中心决算包括：本级决算、所属单位决算。</w:t>
      </w:r>
    </w:p>
    <w:p>
      <w:pPr>
        <w:widowControl/>
        <w:ind w:firstLine="640" w:firstLineChars="200"/>
        <w:jc w:val="left"/>
        <w:rPr>
          <w:rFonts w:hint="default"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2019年度，</w:t>
      </w:r>
      <w:r>
        <w:rPr>
          <w:rFonts w:hint="eastAsia" w:ascii="仿宋_GB2312" w:hAnsi="宋体" w:eastAsia="仿宋_GB2312" w:cs="仿宋_GB2312"/>
          <w:color w:val="000000" w:themeColor="text1"/>
          <w:kern w:val="0"/>
          <w:sz w:val="32"/>
          <w:szCs w:val="32"/>
          <w:shd w:val="clear" w:color="auto" w:fill="FFFFFF"/>
        </w:rPr>
        <w:t>淮阳龙湖风景名胜区保护中心</w:t>
      </w:r>
      <w:r>
        <w:rPr>
          <w:rFonts w:hint="eastAsia" w:ascii="仿宋_GB2312" w:hAnsi="仿宋_GB2312" w:eastAsia="仿宋_GB2312" w:cs="仿宋_GB2312"/>
          <w:kern w:val="0"/>
          <w:sz w:val="32"/>
          <w:szCs w:val="32"/>
          <w:highlight w:val="none"/>
          <w:lang w:val="en-US" w:eastAsia="zh-CN"/>
        </w:rPr>
        <w:t>。</w:t>
      </w:r>
    </w:p>
    <w:p>
      <w:pPr>
        <w:ind w:firstLine="960" w:firstLineChars="300"/>
        <w:jc w:val="left"/>
        <w:rPr>
          <w:rFonts w:hint="eastAsia" w:ascii="仿宋_GB2312" w:hAnsi="宋体" w:eastAsia="仿宋_GB2312" w:cs="仿宋_GB2312"/>
          <w:color w:val="000000" w:themeColor="text1"/>
          <w:kern w:val="0"/>
          <w:sz w:val="32"/>
          <w:szCs w:val="32"/>
          <w:shd w:val="clear" w:color="auto" w:fill="FFFFFF"/>
        </w:rPr>
      </w:pPr>
      <w:r>
        <w:rPr>
          <w:rFonts w:hint="eastAsia" w:ascii="仿宋_GB2312" w:hAnsi="仿宋_GB2312" w:eastAsia="仿宋_GB2312" w:cs="仿宋_GB2312"/>
          <w:kern w:val="0"/>
          <w:sz w:val="32"/>
          <w:szCs w:val="32"/>
          <w:highlight w:val="none"/>
          <w:lang w:val="en-US" w:eastAsia="zh-CN"/>
        </w:rPr>
        <w:t>本决算为汇总决算，</w:t>
      </w:r>
      <w:r>
        <w:rPr>
          <w:rFonts w:hint="eastAsia" w:ascii="仿宋_GB2312" w:hAnsi="宋体" w:eastAsia="仿宋_GB2312" w:cs="仿宋_GB2312"/>
          <w:color w:val="000000" w:themeColor="text1"/>
          <w:kern w:val="0"/>
          <w:sz w:val="32"/>
          <w:szCs w:val="32"/>
          <w:shd w:val="clear" w:color="auto" w:fill="FFFFFF"/>
        </w:rPr>
        <w:t>纳入本部门2019年度</w:t>
      </w:r>
      <w:bookmarkStart w:id="0" w:name="_GoBack"/>
      <w:bookmarkEnd w:id="0"/>
      <w:r>
        <w:rPr>
          <w:rFonts w:hint="eastAsia" w:ascii="仿宋_GB2312" w:hAnsi="宋体" w:eastAsia="仿宋_GB2312" w:cs="仿宋_GB2312"/>
          <w:color w:val="000000" w:themeColor="text1"/>
          <w:kern w:val="0"/>
          <w:sz w:val="32"/>
          <w:szCs w:val="32"/>
          <w:shd w:val="clear" w:color="auto" w:fill="FFFFFF"/>
        </w:rPr>
        <w:t>部门决算编制范围的单位共1个，其中二级预算单位0个，具体是：</w:t>
      </w:r>
    </w:p>
    <w:p>
      <w:pPr>
        <w:ind w:firstLine="960" w:firstLineChars="300"/>
        <w:jc w:val="left"/>
        <w:rPr>
          <w:rFonts w:hint="eastAsia"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1. 淮阳龙湖风景名胜区保护中心本级</w:t>
      </w:r>
    </w:p>
    <w:p>
      <w:pPr>
        <w:ind w:firstLine="960" w:firstLineChars="300"/>
        <w:jc w:val="left"/>
        <w:rPr>
          <w:rFonts w:hint="eastAsia" w:ascii="仿宋_GB2312" w:hAnsi="宋体" w:eastAsia="仿宋_GB2312" w:cs="仿宋_GB2312"/>
          <w:color w:val="000000" w:themeColor="text1"/>
          <w:kern w:val="0"/>
          <w:sz w:val="32"/>
          <w:szCs w:val="32"/>
          <w:shd w:val="clear" w:color="auto" w:fill="FFFFFF"/>
        </w:rPr>
      </w:pPr>
    </w:p>
    <w:p>
      <w:pPr>
        <w:widowControl/>
        <w:ind w:left="105" w:leftChars="50" w:firstLine="640" w:firstLineChars="200"/>
        <w:jc w:val="left"/>
        <w:rPr>
          <w:rFonts w:ascii="黑体" w:hAnsi="黑体" w:eastAsia="黑体" w:cs="黑体"/>
          <w:color w:val="000000" w:themeColor="text1"/>
          <w:sz w:val="32"/>
          <w:szCs w:val="32"/>
        </w:rPr>
      </w:pPr>
    </w:p>
    <w:p>
      <w:pPr>
        <w:widowControl/>
        <w:shd w:val="clear" w:color="auto" w:fill="FFFFFF"/>
        <w:spacing w:line="270" w:lineRule="atLeast"/>
        <w:ind w:right="51" w:firstLine="1008"/>
        <w:jc w:val="left"/>
        <w:rPr>
          <w:rFonts w:ascii="仿宋_GB2312" w:hAnsi="宋体" w:eastAsia="仿宋_GB2312" w:cs="仿宋_GB2312"/>
          <w:color w:val="000000" w:themeColor="text1"/>
          <w:kern w:val="0"/>
          <w:sz w:val="32"/>
          <w:szCs w:val="32"/>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r>
        <w:rPr>
          <w:rStyle w:val="6"/>
          <w:rFonts w:hint="eastAsia" w:ascii="黑体" w:hAnsi="黑体" w:eastAsia="黑体" w:cs="黑体"/>
          <w:b w:val="0"/>
          <w:color w:val="000000" w:themeColor="text1"/>
          <w:kern w:val="0"/>
          <w:sz w:val="44"/>
          <w:szCs w:val="44"/>
          <w:shd w:val="clear" w:color="auto" w:fill="FFFFFF"/>
        </w:rPr>
        <w:t>第二部分   2019年度部门决算表</w:t>
      </w: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sectPr>
          <w:footerReference r:id="rId3" w:type="default"/>
          <w:pgSz w:w="11906" w:h="16838"/>
          <w:pgMar w:top="1440" w:right="1800" w:bottom="1440" w:left="1800" w:header="851" w:footer="992" w:gutter="0"/>
          <w:cols w:space="425" w:num="1"/>
          <w:docGrid w:type="lines" w:linePitch="312" w:charSpace="0"/>
        </w:sectPr>
      </w:pPr>
    </w:p>
    <w:tbl>
      <w:tblPr>
        <w:tblStyle w:val="4"/>
        <w:tblW w:w="14120" w:type="dxa"/>
        <w:jc w:val="center"/>
        <w:tblLayout w:type="autofit"/>
        <w:tblCellMar>
          <w:top w:w="0" w:type="dxa"/>
          <w:left w:w="108" w:type="dxa"/>
          <w:bottom w:w="0" w:type="dxa"/>
          <w:right w:w="108" w:type="dxa"/>
        </w:tblCellMar>
      </w:tblPr>
      <w:tblGrid>
        <w:gridCol w:w="5461"/>
        <w:gridCol w:w="637"/>
        <w:gridCol w:w="935"/>
        <w:gridCol w:w="4512"/>
        <w:gridCol w:w="637"/>
        <w:gridCol w:w="1938"/>
      </w:tblGrid>
      <w:tr>
        <w:tblPrEx>
          <w:tblCellMar>
            <w:top w:w="0" w:type="dxa"/>
            <w:left w:w="108" w:type="dxa"/>
            <w:bottom w:w="0" w:type="dxa"/>
            <w:right w:w="108" w:type="dxa"/>
          </w:tblCellMar>
        </w:tblPrEx>
        <w:trPr>
          <w:trHeight w:val="390" w:hRule="atLeast"/>
          <w:jc w:val="center"/>
        </w:trPr>
        <w:tc>
          <w:tcPr>
            <w:tcW w:w="14120" w:type="dxa"/>
            <w:gridSpan w:val="6"/>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收入支出决算总表</w:t>
            </w:r>
          </w:p>
        </w:tc>
      </w:tr>
      <w:tr>
        <w:trPr>
          <w:trHeight w:val="255" w:hRule="atLeast"/>
          <w:jc w:val="center"/>
        </w:trPr>
        <w:tc>
          <w:tcPr>
            <w:tcW w:w="5461"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63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935"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51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63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938"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公开01表</w:t>
            </w:r>
          </w:p>
        </w:tc>
      </w:tr>
      <w:tr>
        <w:tblPrEx>
          <w:tblCellMar>
            <w:top w:w="0" w:type="dxa"/>
            <w:left w:w="108" w:type="dxa"/>
            <w:bottom w:w="0" w:type="dxa"/>
            <w:right w:w="108" w:type="dxa"/>
          </w:tblCellMar>
        </w:tblPrEx>
        <w:trPr>
          <w:trHeight w:val="255" w:hRule="atLeast"/>
          <w:jc w:val="center"/>
        </w:trPr>
        <w:tc>
          <w:tcPr>
            <w:tcW w:w="5461" w:type="dxa"/>
            <w:tcBorders>
              <w:top w:val="nil"/>
              <w:left w:val="nil"/>
              <w:bottom w:val="nil"/>
              <w:right w:val="nil"/>
            </w:tcBorders>
            <w:shd w:val="clear" w:color="000000" w:fill="FFFFFF"/>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63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935"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512"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63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938"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rPr>
          <w:trHeight w:val="308" w:hRule="atLeast"/>
          <w:jc w:val="center"/>
        </w:trPr>
        <w:tc>
          <w:tcPr>
            <w:tcW w:w="7033" w:type="dxa"/>
            <w:gridSpan w:val="3"/>
            <w:tcBorders>
              <w:top w:val="single" w:color="000000" w:sz="4" w:space="0"/>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收入</w:t>
            </w:r>
          </w:p>
        </w:tc>
        <w:tc>
          <w:tcPr>
            <w:tcW w:w="7087" w:type="dxa"/>
            <w:gridSpan w:val="3"/>
            <w:tcBorders>
              <w:top w:val="single" w:color="000000" w:sz="4" w:space="0"/>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支出</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行次</w:t>
            </w:r>
          </w:p>
        </w:tc>
        <w:tc>
          <w:tcPr>
            <w:tcW w:w="935"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金额</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行次</w:t>
            </w:r>
          </w:p>
        </w:tc>
        <w:tc>
          <w:tcPr>
            <w:tcW w:w="1938"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金额</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935"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938"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一、一般公共预算财政拨款收入</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一、一般公共服务支出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29</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二、政府性基金预算财政拨款收入</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二、外交支出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30</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三、上级补助收入</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三、国防支出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31</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四、事业收入</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四、公共安全支出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32</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五、经营收入</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五、教育支出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33</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六、附属单位上缴收入</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6</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六、科学技术支出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34</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七、其他收入</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7</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七、文化旅游体育与传媒支出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35</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8</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八、社会保障和就业支出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36</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9</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九、卫生健康支出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37</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10</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十、节能环保支出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38</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11</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十一、城乡社区支出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39</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12</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十二、农林水支出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40</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13</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十三、交通运输支出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41</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14</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十四、资源勘探信息等支出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42</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15</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十五、商业服务业等支出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43</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16</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十六、金融支出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44</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17</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十七、援助其他地区支出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45</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18</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十八、自然资源海洋气象等支出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46</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19</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十九、住房保障支出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47</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20</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二十、粮油物资储备支出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48</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21</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二十一、灾害防治及应急管理支出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49</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22</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二十二、其他支出</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50</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23</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51</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本年收入合计</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24</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本年支出合计</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52</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用事业基金弥补收支差额</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25</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结余分配</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53</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年初结转和结余</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26</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年末结转和结余</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54</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27</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55</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5461"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总计</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28</w:t>
            </w:r>
          </w:p>
        </w:tc>
        <w:tc>
          <w:tcPr>
            <w:tcW w:w="935"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4512"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总计</w:t>
            </w:r>
          </w:p>
        </w:tc>
        <w:tc>
          <w:tcPr>
            <w:tcW w:w="63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56</w:t>
            </w:r>
          </w:p>
        </w:tc>
        <w:tc>
          <w:tcPr>
            <w:tcW w:w="193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r>
      <w:tr>
        <w:tblPrEx>
          <w:tblCellMar>
            <w:top w:w="0" w:type="dxa"/>
            <w:left w:w="108" w:type="dxa"/>
            <w:bottom w:w="0" w:type="dxa"/>
            <w:right w:w="108" w:type="dxa"/>
          </w:tblCellMar>
        </w:tblPrEx>
        <w:trPr>
          <w:trHeight w:val="308" w:hRule="atLeast"/>
          <w:jc w:val="center"/>
        </w:trPr>
        <w:tc>
          <w:tcPr>
            <w:tcW w:w="14120" w:type="dxa"/>
            <w:gridSpan w:val="6"/>
            <w:tcBorders>
              <w:top w:val="nil"/>
              <w:left w:val="nil"/>
              <w:bottom w:val="nil"/>
              <w:right w:val="nil"/>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注：本表反映部门本年度的总收支和年末结转结余情况。本表金额转换为万元时，因四舍五入可能存在尾差。</w:t>
            </w:r>
          </w:p>
        </w:tc>
      </w:tr>
    </w:tbl>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tbl>
      <w:tblPr>
        <w:tblStyle w:val="4"/>
        <w:tblW w:w="14405" w:type="dxa"/>
        <w:jc w:val="center"/>
        <w:tblLayout w:type="autofit"/>
        <w:tblCellMar>
          <w:top w:w="0" w:type="dxa"/>
          <w:left w:w="108" w:type="dxa"/>
          <w:bottom w:w="0" w:type="dxa"/>
          <w:right w:w="108" w:type="dxa"/>
        </w:tblCellMar>
      </w:tblPr>
      <w:tblGrid>
        <w:gridCol w:w="401"/>
        <w:gridCol w:w="313"/>
        <w:gridCol w:w="272"/>
        <w:gridCol w:w="4670"/>
        <w:gridCol w:w="1286"/>
        <w:gridCol w:w="1286"/>
        <w:gridCol w:w="1148"/>
        <w:gridCol w:w="1148"/>
        <w:gridCol w:w="1148"/>
        <w:gridCol w:w="1148"/>
        <w:gridCol w:w="1771"/>
      </w:tblGrid>
      <w:tr>
        <w:tblPrEx>
          <w:tblCellMar>
            <w:top w:w="0" w:type="dxa"/>
            <w:left w:w="108" w:type="dxa"/>
            <w:bottom w:w="0" w:type="dxa"/>
            <w:right w:w="108" w:type="dxa"/>
          </w:tblCellMar>
        </w:tblPrEx>
        <w:trPr>
          <w:trHeight w:val="390" w:hRule="atLeast"/>
          <w:jc w:val="center"/>
        </w:trPr>
        <w:tc>
          <w:tcPr>
            <w:tcW w:w="14405" w:type="dxa"/>
            <w:gridSpan w:val="11"/>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收入决算表</w:t>
            </w:r>
          </w:p>
        </w:tc>
      </w:tr>
      <w:tr>
        <w:tblPrEx>
          <w:tblCellMar>
            <w:top w:w="0" w:type="dxa"/>
            <w:left w:w="108" w:type="dxa"/>
            <w:bottom w:w="0" w:type="dxa"/>
            <w:right w:w="108" w:type="dxa"/>
          </w:tblCellMar>
        </w:tblPrEx>
        <w:trPr>
          <w:trHeight w:val="255" w:hRule="atLeast"/>
          <w:jc w:val="center"/>
        </w:trPr>
        <w:tc>
          <w:tcPr>
            <w:tcW w:w="32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5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67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28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28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4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4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4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4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71"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公开02表</w:t>
            </w:r>
          </w:p>
        </w:tc>
      </w:tr>
      <w:tr>
        <w:tblPrEx>
          <w:tblCellMar>
            <w:top w:w="0" w:type="dxa"/>
            <w:left w:w="108" w:type="dxa"/>
            <w:bottom w:w="0" w:type="dxa"/>
            <w:right w:w="108" w:type="dxa"/>
          </w:tblCellMar>
        </w:tblPrEx>
        <w:trPr>
          <w:trHeight w:val="255" w:hRule="atLeast"/>
          <w:jc w:val="center"/>
        </w:trPr>
        <w:tc>
          <w:tcPr>
            <w:tcW w:w="5470" w:type="dxa"/>
            <w:gridSpan w:val="4"/>
            <w:tcBorders>
              <w:top w:val="nil"/>
              <w:left w:val="nil"/>
              <w:bottom w:val="nil"/>
              <w:right w:val="nil"/>
            </w:tcBorders>
            <w:shd w:val="clear" w:color="000000" w:fill="FFFFFF"/>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128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28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148"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148"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148"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148"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771"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jc w:val="center"/>
        </w:trPr>
        <w:tc>
          <w:tcPr>
            <w:tcW w:w="5470" w:type="dxa"/>
            <w:gridSpan w:val="4"/>
            <w:tcBorders>
              <w:top w:val="single" w:color="000000" w:sz="4" w:space="0"/>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1286"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本年收入合计</w:t>
            </w:r>
          </w:p>
        </w:tc>
        <w:tc>
          <w:tcPr>
            <w:tcW w:w="1286"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财政拨款收入</w:t>
            </w:r>
          </w:p>
        </w:tc>
        <w:tc>
          <w:tcPr>
            <w:tcW w:w="1148"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上级补助收入</w:t>
            </w:r>
          </w:p>
        </w:tc>
        <w:tc>
          <w:tcPr>
            <w:tcW w:w="1148"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事业收入</w:t>
            </w:r>
          </w:p>
        </w:tc>
        <w:tc>
          <w:tcPr>
            <w:tcW w:w="1148"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经营收入</w:t>
            </w:r>
          </w:p>
        </w:tc>
        <w:tc>
          <w:tcPr>
            <w:tcW w:w="1148"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附属单位上缴收入</w:t>
            </w:r>
          </w:p>
        </w:tc>
        <w:tc>
          <w:tcPr>
            <w:tcW w:w="1771"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其他收入</w:t>
            </w:r>
          </w:p>
        </w:tc>
      </w:tr>
      <w:tr>
        <w:tblPrEx>
          <w:tblCellMar>
            <w:top w:w="0" w:type="dxa"/>
            <w:left w:w="108" w:type="dxa"/>
            <w:bottom w:w="0" w:type="dxa"/>
            <w:right w:w="108" w:type="dxa"/>
          </w:tblCellMar>
        </w:tblPrEx>
        <w:trPr>
          <w:trHeight w:val="312"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功能分类科目编码</w:t>
            </w:r>
          </w:p>
        </w:tc>
        <w:tc>
          <w:tcPr>
            <w:tcW w:w="4670" w:type="dxa"/>
            <w:vMerge w:val="restart"/>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科目名称</w:t>
            </w:r>
          </w:p>
        </w:tc>
        <w:tc>
          <w:tcPr>
            <w:tcW w:w="128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71"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67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71"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67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4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71"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08" w:hRule="atLeast"/>
          <w:jc w:val="center"/>
        </w:trPr>
        <w:tc>
          <w:tcPr>
            <w:tcW w:w="5470"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1286"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1286"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1148"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c>
          <w:tcPr>
            <w:tcW w:w="1148"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w:t>
            </w:r>
          </w:p>
        </w:tc>
        <w:tc>
          <w:tcPr>
            <w:tcW w:w="1148"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w:t>
            </w:r>
          </w:p>
        </w:tc>
        <w:tc>
          <w:tcPr>
            <w:tcW w:w="1148"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6</w:t>
            </w:r>
          </w:p>
        </w:tc>
        <w:tc>
          <w:tcPr>
            <w:tcW w:w="1771"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7</w:t>
            </w:r>
          </w:p>
        </w:tc>
      </w:tr>
      <w:tr>
        <w:trPr>
          <w:trHeight w:val="308" w:hRule="atLeast"/>
          <w:jc w:val="center"/>
        </w:trPr>
        <w:tc>
          <w:tcPr>
            <w:tcW w:w="5470"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合计</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712.80</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712.80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c>
          <w:tcPr>
            <w:tcW w:w="177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w:t>
            </w:r>
          </w:p>
        </w:tc>
        <w:tc>
          <w:tcPr>
            <w:tcW w:w="467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教育支出</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20502</w:t>
            </w:r>
          </w:p>
        </w:tc>
        <w:tc>
          <w:tcPr>
            <w:tcW w:w="467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普通教育</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2050202</w:t>
            </w:r>
          </w:p>
        </w:tc>
        <w:tc>
          <w:tcPr>
            <w:tcW w:w="467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小学教育</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w:t>
            </w:r>
          </w:p>
        </w:tc>
        <w:tc>
          <w:tcPr>
            <w:tcW w:w="467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文化旅游体育与传媒支出</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20701</w:t>
            </w:r>
          </w:p>
        </w:tc>
        <w:tc>
          <w:tcPr>
            <w:tcW w:w="467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文化和旅游</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2070114</w:t>
            </w:r>
          </w:p>
        </w:tc>
        <w:tc>
          <w:tcPr>
            <w:tcW w:w="467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旅游行业业务管理</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28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社会保障和就业支出</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20805</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行政事业单位离退休</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2080505</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机关事业单位基本养老保险缴费支出</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20899</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其他社会保障和就业支出</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2089901</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其他社会保障和就业支出</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卫生健康支出</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21011</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行政事业单位医疗</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2101102</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事业单位医疗</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农林水支出</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21305</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扶贫</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2130599</w:t>
            </w:r>
          </w:p>
        </w:tc>
        <w:tc>
          <w:tcPr>
            <w:tcW w:w="46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其他扶贫支出</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28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14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7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14405" w:type="dxa"/>
            <w:gridSpan w:val="11"/>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注：本表反映部门本年度取得的各项收入情况。本表金额转换为万元时，因四舍五入可能存在尾差。</w:t>
            </w:r>
          </w:p>
        </w:tc>
      </w:tr>
    </w:tbl>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tbl>
      <w:tblPr>
        <w:tblStyle w:val="4"/>
        <w:tblW w:w="14499" w:type="dxa"/>
        <w:jc w:val="center"/>
        <w:tblLayout w:type="autofit"/>
        <w:tblCellMar>
          <w:top w:w="0" w:type="dxa"/>
          <w:left w:w="108" w:type="dxa"/>
          <w:bottom w:w="0" w:type="dxa"/>
          <w:right w:w="108" w:type="dxa"/>
        </w:tblCellMar>
      </w:tblPr>
      <w:tblGrid>
        <w:gridCol w:w="401"/>
        <w:gridCol w:w="313"/>
        <w:gridCol w:w="272"/>
        <w:gridCol w:w="4945"/>
        <w:gridCol w:w="1427"/>
        <w:gridCol w:w="1427"/>
        <w:gridCol w:w="1427"/>
        <w:gridCol w:w="1282"/>
        <w:gridCol w:w="1282"/>
        <w:gridCol w:w="1909"/>
      </w:tblGrid>
      <w:tr>
        <w:trPr>
          <w:trHeight w:val="390" w:hRule="atLeast"/>
          <w:jc w:val="center"/>
        </w:trPr>
        <w:tc>
          <w:tcPr>
            <w:tcW w:w="14499" w:type="dxa"/>
            <w:gridSpan w:val="10"/>
            <w:tcBorders>
              <w:top w:val="nil"/>
              <w:left w:val="nil"/>
              <w:bottom w:val="nil"/>
              <w:right w:val="nil"/>
            </w:tcBorders>
            <w:shd w:val="clear" w:color="000000" w:fill="FFFFFF"/>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支出决算表</w:t>
            </w:r>
          </w:p>
        </w:tc>
      </w:tr>
      <w:tr>
        <w:tblPrEx>
          <w:tblCellMar>
            <w:top w:w="0" w:type="dxa"/>
            <w:left w:w="108" w:type="dxa"/>
            <w:bottom w:w="0" w:type="dxa"/>
            <w:right w:w="108" w:type="dxa"/>
          </w:tblCellMar>
        </w:tblPrEx>
        <w:trPr>
          <w:trHeight w:val="255" w:hRule="atLeast"/>
          <w:jc w:val="center"/>
        </w:trPr>
        <w:tc>
          <w:tcPr>
            <w:tcW w:w="328"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25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21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945"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42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42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42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282"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282"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909"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公开03表</w:t>
            </w:r>
          </w:p>
        </w:tc>
      </w:tr>
      <w:tr>
        <w:tblPrEx>
          <w:tblCellMar>
            <w:top w:w="0" w:type="dxa"/>
            <w:left w:w="108" w:type="dxa"/>
            <w:bottom w:w="0" w:type="dxa"/>
            <w:right w:w="108" w:type="dxa"/>
          </w:tblCellMar>
        </w:tblPrEx>
        <w:trPr>
          <w:trHeight w:val="255" w:hRule="atLeast"/>
          <w:jc w:val="center"/>
        </w:trPr>
        <w:tc>
          <w:tcPr>
            <w:tcW w:w="5745" w:type="dxa"/>
            <w:gridSpan w:val="4"/>
            <w:tcBorders>
              <w:top w:val="nil"/>
              <w:left w:val="nil"/>
              <w:bottom w:val="nil"/>
              <w:right w:val="nil"/>
            </w:tcBorders>
            <w:shd w:val="clear" w:color="000000" w:fill="FFFFFF"/>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142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42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42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282"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282"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909"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jc w:val="center"/>
        </w:trPr>
        <w:tc>
          <w:tcPr>
            <w:tcW w:w="5745" w:type="dxa"/>
            <w:gridSpan w:val="4"/>
            <w:tcBorders>
              <w:top w:val="single" w:color="000000" w:sz="4" w:space="0"/>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1427"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本年支出合计</w:t>
            </w:r>
          </w:p>
        </w:tc>
        <w:tc>
          <w:tcPr>
            <w:tcW w:w="1427"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基本支出</w:t>
            </w:r>
          </w:p>
        </w:tc>
        <w:tc>
          <w:tcPr>
            <w:tcW w:w="1427"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项目支出</w:t>
            </w:r>
          </w:p>
        </w:tc>
        <w:tc>
          <w:tcPr>
            <w:tcW w:w="1282"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上缴上级支出</w:t>
            </w:r>
          </w:p>
        </w:tc>
        <w:tc>
          <w:tcPr>
            <w:tcW w:w="1282"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经营支出</w:t>
            </w:r>
          </w:p>
        </w:tc>
        <w:tc>
          <w:tcPr>
            <w:tcW w:w="1909"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对附属单位补助支出</w:t>
            </w:r>
          </w:p>
        </w:tc>
      </w:tr>
      <w:tr>
        <w:trPr>
          <w:trHeight w:val="312"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功能分类科目编码</w:t>
            </w:r>
          </w:p>
        </w:tc>
        <w:tc>
          <w:tcPr>
            <w:tcW w:w="4945" w:type="dxa"/>
            <w:vMerge w:val="restart"/>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科目名称</w:t>
            </w: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2"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2"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0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94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2"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2"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0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945"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42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2"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82"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0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rPr>
          <w:trHeight w:val="308" w:hRule="atLeast"/>
          <w:jc w:val="center"/>
        </w:trPr>
        <w:tc>
          <w:tcPr>
            <w:tcW w:w="5745"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142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142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142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c>
          <w:tcPr>
            <w:tcW w:w="1282"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w:t>
            </w:r>
          </w:p>
        </w:tc>
        <w:tc>
          <w:tcPr>
            <w:tcW w:w="1282"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w:t>
            </w:r>
          </w:p>
        </w:tc>
        <w:tc>
          <w:tcPr>
            <w:tcW w:w="1909"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6</w:t>
            </w:r>
          </w:p>
        </w:tc>
      </w:tr>
      <w:tr>
        <w:tblPrEx>
          <w:tblCellMar>
            <w:top w:w="0" w:type="dxa"/>
            <w:left w:w="108" w:type="dxa"/>
            <w:bottom w:w="0" w:type="dxa"/>
            <w:right w:w="108" w:type="dxa"/>
          </w:tblCellMar>
        </w:tblPrEx>
        <w:trPr>
          <w:trHeight w:val="308" w:hRule="atLeast"/>
          <w:jc w:val="center"/>
        </w:trPr>
        <w:tc>
          <w:tcPr>
            <w:tcW w:w="5745"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合计</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712.80</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554.82</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157.98</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教育支出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458.15</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75.47</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20502</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普通教育</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458.15</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75.47</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2050202</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小学教育</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458.15</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75.47</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文化旅游体育与传媒支出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55.99</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82.51</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20701</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文化和旅游</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55.99</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82.51</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2070114</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旅游行业业务管理</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55.99</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82.51</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社会保障和就业支出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20805</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行政事业单位离退休</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2080505</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机关事业单位基本养老保险缴费支出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20899</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其他社会保障和就业支出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2089901</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其他社会保障和就业支出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卫生健康支出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21011</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行政事业单位医疗</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2101102</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事业单位医疗</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农林水支出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21305</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扶贫</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2130599</w:t>
            </w:r>
          </w:p>
        </w:tc>
        <w:tc>
          <w:tcPr>
            <w:tcW w:w="4945"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其他扶贫支出</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4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28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90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rPr>
          <w:trHeight w:val="308" w:hRule="atLeast"/>
          <w:jc w:val="center"/>
        </w:trPr>
        <w:tc>
          <w:tcPr>
            <w:tcW w:w="14499" w:type="dxa"/>
            <w:gridSpan w:val="10"/>
            <w:tcBorders>
              <w:top w:val="nil"/>
              <w:left w:val="nil"/>
              <w:bottom w:val="nil"/>
              <w:right w:val="nil"/>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注：本表反映部门本年度各项支出情况。本表金额转换为万元时，因四舍五入可能存在尾差。</w:t>
            </w:r>
          </w:p>
        </w:tc>
      </w:tr>
    </w:tbl>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tbl>
      <w:tblPr>
        <w:tblStyle w:val="4"/>
        <w:tblW w:w="14181" w:type="dxa"/>
        <w:jc w:val="center"/>
        <w:tblLayout w:type="autofit"/>
        <w:tblCellMar>
          <w:top w:w="0" w:type="dxa"/>
          <w:left w:w="108" w:type="dxa"/>
          <w:bottom w:w="0" w:type="dxa"/>
          <w:right w:w="108" w:type="dxa"/>
        </w:tblCellMar>
      </w:tblPr>
      <w:tblGrid>
        <w:gridCol w:w="3489"/>
        <w:gridCol w:w="490"/>
        <w:gridCol w:w="1127"/>
        <w:gridCol w:w="4020"/>
        <w:gridCol w:w="490"/>
        <w:gridCol w:w="876"/>
        <w:gridCol w:w="1316"/>
        <w:gridCol w:w="1753"/>
        <w:gridCol w:w="620"/>
      </w:tblGrid>
      <w:tr>
        <w:tblPrEx>
          <w:tblCellMar>
            <w:top w:w="0" w:type="dxa"/>
            <w:left w:w="108" w:type="dxa"/>
            <w:bottom w:w="0" w:type="dxa"/>
            <w:right w:w="108" w:type="dxa"/>
          </w:tblCellMar>
        </w:tblPrEx>
        <w:trPr>
          <w:trHeight w:val="390" w:hRule="atLeast"/>
          <w:jc w:val="center"/>
        </w:trPr>
        <w:tc>
          <w:tcPr>
            <w:tcW w:w="14181" w:type="dxa"/>
            <w:gridSpan w:val="9"/>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财政拨款收入支出决算总表</w:t>
            </w:r>
          </w:p>
        </w:tc>
      </w:tr>
      <w:tr>
        <w:tblPrEx>
          <w:tblCellMar>
            <w:top w:w="0" w:type="dxa"/>
            <w:left w:w="108" w:type="dxa"/>
            <w:bottom w:w="0" w:type="dxa"/>
            <w:right w:w="108" w:type="dxa"/>
          </w:tblCellMar>
        </w:tblPrEx>
        <w:trPr>
          <w:gridAfter w:val="1"/>
          <w:wAfter w:w="620" w:type="dxa"/>
          <w:trHeight w:val="255" w:hRule="atLeast"/>
          <w:jc w:val="center"/>
        </w:trPr>
        <w:tc>
          <w:tcPr>
            <w:tcW w:w="3489"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9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127"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02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9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87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31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753"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公开04表</w:t>
            </w:r>
          </w:p>
        </w:tc>
      </w:tr>
      <w:tr>
        <w:tblPrEx>
          <w:tblCellMar>
            <w:top w:w="0" w:type="dxa"/>
            <w:left w:w="108" w:type="dxa"/>
            <w:bottom w:w="0" w:type="dxa"/>
            <w:right w:w="108" w:type="dxa"/>
          </w:tblCellMar>
        </w:tblPrEx>
        <w:trPr>
          <w:gridAfter w:val="1"/>
          <w:wAfter w:w="620" w:type="dxa"/>
          <w:trHeight w:val="255" w:hRule="atLeast"/>
          <w:jc w:val="center"/>
        </w:trPr>
        <w:tc>
          <w:tcPr>
            <w:tcW w:w="5106" w:type="dxa"/>
            <w:gridSpan w:val="3"/>
            <w:tcBorders>
              <w:top w:val="nil"/>
              <w:left w:val="nil"/>
              <w:bottom w:val="nil"/>
              <w:right w:val="nil"/>
            </w:tcBorders>
            <w:shd w:val="clear" w:color="000000" w:fill="FFFFFF"/>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402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9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87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316"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753"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gridAfter w:val="1"/>
          <w:wAfter w:w="620" w:type="dxa"/>
          <w:trHeight w:val="308" w:hRule="atLeast"/>
          <w:jc w:val="center"/>
        </w:trPr>
        <w:tc>
          <w:tcPr>
            <w:tcW w:w="5106" w:type="dxa"/>
            <w:gridSpan w:val="3"/>
            <w:tcBorders>
              <w:top w:val="single" w:color="000000" w:sz="4" w:space="0"/>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收     入</w:t>
            </w:r>
          </w:p>
        </w:tc>
        <w:tc>
          <w:tcPr>
            <w:tcW w:w="8455" w:type="dxa"/>
            <w:gridSpan w:val="5"/>
            <w:tcBorders>
              <w:top w:val="single" w:color="000000" w:sz="4" w:space="0"/>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支     出</w:t>
            </w:r>
          </w:p>
        </w:tc>
      </w:tr>
      <w:tr>
        <w:tblPrEx>
          <w:tblCellMar>
            <w:top w:w="0" w:type="dxa"/>
            <w:left w:w="108" w:type="dxa"/>
            <w:bottom w:w="0" w:type="dxa"/>
            <w:right w:w="108" w:type="dxa"/>
          </w:tblCellMar>
        </w:tblPrEx>
        <w:trPr>
          <w:gridAfter w:val="1"/>
          <w:wAfter w:w="620" w:type="dxa"/>
          <w:trHeight w:val="312" w:hRule="atLeast"/>
          <w:jc w:val="center"/>
        </w:trPr>
        <w:tc>
          <w:tcPr>
            <w:tcW w:w="3489" w:type="dxa"/>
            <w:vMerge w:val="restart"/>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49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行次</w:t>
            </w:r>
          </w:p>
        </w:tc>
        <w:tc>
          <w:tcPr>
            <w:tcW w:w="1127"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金额</w:t>
            </w:r>
          </w:p>
        </w:tc>
        <w:tc>
          <w:tcPr>
            <w:tcW w:w="402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49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行次</w:t>
            </w:r>
          </w:p>
        </w:tc>
        <w:tc>
          <w:tcPr>
            <w:tcW w:w="876" w:type="dxa"/>
            <w:vMerge w:val="restart"/>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合计</w:t>
            </w:r>
          </w:p>
        </w:tc>
        <w:tc>
          <w:tcPr>
            <w:tcW w:w="1316"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一般公共预算财政拨款</w:t>
            </w:r>
          </w:p>
        </w:tc>
        <w:tc>
          <w:tcPr>
            <w:tcW w:w="1753"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政府性基金预算财政拨款</w:t>
            </w:r>
          </w:p>
        </w:tc>
      </w:tr>
      <w:tr>
        <w:tblPrEx>
          <w:tblCellMar>
            <w:top w:w="0" w:type="dxa"/>
            <w:left w:w="108" w:type="dxa"/>
            <w:bottom w:w="0" w:type="dxa"/>
            <w:right w:w="108" w:type="dxa"/>
          </w:tblCellMar>
        </w:tblPrEx>
        <w:trPr>
          <w:gridAfter w:val="1"/>
          <w:wAfter w:w="620" w:type="dxa"/>
          <w:trHeight w:val="615" w:hRule="atLeast"/>
          <w:jc w:val="center"/>
        </w:trPr>
        <w:tc>
          <w:tcPr>
            <w:tcW w:w="3489"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9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27"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02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9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87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31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53"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12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876"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1316"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c>
          <w:tcPr>
            <w:tcW w:w="1753"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一、一般公共预算财政拨款</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一、一般公共服务支出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30</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二、政府性基金预算财政拨款</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二、外交支出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31</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三、国防支出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32</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四、公共安全支出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33</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五、教育支出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34</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6</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六、科学技术支出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35</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7</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七、文化旅游体育与传媒支出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36</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8</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八、社会保障和就业支出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37</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9</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九、卫生健康支出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38</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10</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十、节能环保支出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39</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11</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十一、城乡社区支出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40</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12</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十二、农林水支出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41</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13</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十三、交通运输支出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42</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14</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十四、资源勘探信息等支出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43</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15</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十五、商业服务业等支出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44</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16</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十六、金融支出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45</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17</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十七、援助其他地区支出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46</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18</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十八、自然资源海洋气象等支出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47</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19</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十九、住房保障支出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48</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20</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二十、粮油物资储备支出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49</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21</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二十一、灾害防治及应急管理支出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50</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22</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二十二、其他支出</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51</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23</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52</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本年收入合计</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24</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本年支出合计</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53</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年初财政拨款结转和结余</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25</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年末财政拨款结转和结余</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54</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一、一般公共预算财政拨款</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26</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55</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二、政府性基金预算财政拨款</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27</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56</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28</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57</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gridAfter w:val="1"/>
          <w:wAfter w:w="620" w:type="dxa"/>
          <w:trHeight w:val="308" w:hRule="atLeast"/>
          <w:jc w:val="center"/>
        </w:trPr>
        <w:tc>
          <w:tcPr>
            <w:tcW w:w="3489"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总计</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29</w:t>
            </w:r>
          </w:p>
        </w:tc>
        <w:tc>
          <w:tcPr>
            <w:tcW w:w="112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402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总计</w:t>
            </w:r>
          </w:p>
        </w:tc>
        <w:tc>
          <w:tcPr>
            <w:tcW w:w="490"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58</w:t>
            </w:r>
          </w:p>
        </w:tc>
        <w:tc>
          <w:tcPr>
            <w:tcW w:w="87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131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712.80</w:t>
            </w:r>
          </w:p>
        </w:tc>
        <w:tc>
          <w:tcPr>
            <w:tcW w:w="1753"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gridAfter w:val="1"/>
          <w:wAfter w:w="620" w:type="dxa"/>
          <w:trHeight w:val="555" w:hRule="atLeast"/>
          <w:jc w:val="center"/>
        </w:trPr>
        <w:tc>
          <w:tcPr>
            <w:tcW w:w="13561" w:type="dxa"/>
            <w:gridSpan w:val="8"/>
            <w:tcBorders>
              <w:top w:val="nil"/>
              <w:left w:val="nil"/>
              <w:bottom w:val="nil"/>
              <w:right w:val="nil"/>
            </w:tcBorders>
            <w:shd w:val="clear" w:color="000000" w:fill="FFFFFF"/>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注：本表反映部门本年度一般公共预算财政拨款和政府性基金预算财政拨款的总收支和年末结转结余情况。本表金额转换为万元时，因四舍五入可能存在尾差。</w:t>
            </w:r>
          </w:p>
        </w:tc>
      </w:tr>
    </w:tbl>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tbl>
      <w:tblPr>
        <w:tblStyle w:val="4"/>
        <w:tblW w:w="12394" w:type="dxa"/>
        <w:jc w:val="center"/>
        <w:tblLayout w:type="autofit"/>
        <w:tblCellMar>
          <w:top w:w="0" w:type="dxa"/>
          <w:left w:w="108" w:type="dxa"/>
          <w:bottom w:w="0" w:type="dxa"/>
          <w:right w:w="108" w:type="dxa"/>
        </w:tblCellMar>
      </w:tblPr>
      <w:tblGrid>
        <w:gridCol w:w="401"/>
        <w:gridCol w:w="313"/>
        <w:gridCol w:w="272"/>
        <w:gridCol w:w="5100"/>
        <w:gridCol w:w="1999"/>
        <w:gridCol w:w="1999"/>
        <w:gridCol w:w="2496"/>
      </w:tblGrid>
      <w:tr>
        <w:tblPrEx>
          <w:tblCellMar>
            <w:top w:w="0" w:type="dxa"/>
            <w:left w:w="108" w:type="dxa"/>
            <w:bottom w:w="0" w:type="dxa"/>
            <w:right w:w="108" w:type="dxa"/>
          </w:tblCellMar>
        </w:tblPrEx>
        <w:trPr>
          <w:trHeight w:val="390" w:hRule="atLeast"/>
          <w:jc w:val="center"/>
        </w:trPr>
        <w:tc>
          <w:tcPr>
            <w:tcW w:w="12394" w:type="dxa"/>
            <w:gridSpan w:val="7"/>
            <w:tcBorders>
              <w:top w:val="nil"/>
              <w:left w:val="nil"/>
              <w:bottom w:val="nil"/>
              <w:right w:val="nil"/>
            </w:tcBorders>
            <w:shd w:val="clear" w:color="000000" w:fill="FFFFFF"/>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一般公共预算财政拨款支出决算表</w:t>
            </w:r>
          </w:p>
        </w:tc>
      </w:tr>
      <w:tr>
        <w:tblPrEx>
          <w:tblCellMar>
            <w:top w:w="0" w:type="dxa"/>
            <w:left w:w="108" w:type="dxa"/>
            <w:bottom w:w="0" w:type="dxa"/>
            <w:right w:w="108" w:type="dxa"/>
          </w:tblCellMar>
        </w:tblPrEx>
        <w:trPr>
          <w:trHeight w:val="255" w:hRule="atLeast"/>
          <w:jc w:val="center"/>
        </w:trPr>
        <w:tc>
          <w:tcPr>
            <w:tcW w:w="32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5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510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99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99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496"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公开05表</w:t>
            </w:r>
          </w:p>
        </w:tc>
      </w:tr>
      <w:tr>
        <w:tblPrEx>
          <w:tblCellMar>
            <w:top w:w="0" w:type="dxa"/>
            <w:left w:w="108" w:type="dxa"/>
            <w:bottom w:w="0" w:type="dxa"/>
            <w:right w:w="108" w:type="dxa"/>
          </w:tblCellMar>
        </w:tblPrEx>
        <w:trPr>
          <w:trHeight w:val="255" w:hRule="atLeast"/>
          <w:jc w:val="center"/>
        </w:trPr>
        <w:tc>
          <w:tcPr>
            <w:tcW w:w="5900" w:type="dxa"/>
            <w:gridSpan w:val="4"/>
            <w:tcBorders>
              <w:top w:val="nil"/>
              <w:left w:val="nil"/>
              <w:bottom w:val="nil"/>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199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99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496"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jc w:val="center"/>
        </w:trPr>
        <w:tc>
          <w:tcPr>
            <w:tcW w:w="5900" w:type="dxa"/>
            <w:gridSpan w:val="4"/>
            <w:tcBorders>
              <w:top w:val="single" w:color="000000" w:sz="4" w:space="0"/>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6494" w:type="dxa"/>
            <w:gridSpan w:val="3"/>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本年支出</w:t>
            </w:r>
          </w:p>
        </w:tc>
      </w:tr>
      <w:tr>
        <w:tblPrEx>
          <w:tblCellMar>
            <w:top w:w="0" w:type="dxa"/>
            <w:left w:w="108" w:type="dxa"/>
            <w:bottom w:w="0" w:type="dxa"/>
            <w:right w:w="108" w:type="dxa"/>
          </w:tblCellMar>
        </w:tblPrEx>
        <w:trPr>
          <w:trHeight w:val="312"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功能分类科目编码</w:t>
            </w:r>
          </w:p>
        </w:tc>
        <w:tc>
          <w:tcPr>
            <w:tcW w:w="5100" w:type="dxa"/>
            <w:vMerge w:val="restart"/>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科目名称</w:t>
            </w:r>
          </w:p>
        </w:tc>
        <w:tc>
          <w:tcPr>
            <w:tcW w:w="1999"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小计</w:t>
            </w:r>
          </w:p>
        </w:tc>
        <w:tc>
          <w:tcPr>
            <w:tcW w:w="1999"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基本支出</w:t>
            </w:r>
          </w:p>
        </w:tc>
        <w:tc>
          <w:tcPr>
            <w:tcW w:w="2496"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项目支出</w:t>
            </w:r>
          </w:p>
        </w:tc>
      </w:tr>
      <w:tr>
        <w:tblPrEx>
          <w:tblCellMar>
            <w:top w:w="0" w:type="dxa"/>
            <w:left w:w="108" w:type="dxa"/>
            <w:bottom w:w="0" w:type="dxa"/>
            <w:right w:w="108"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510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99"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99"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249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510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99"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99"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249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08" w:hRule="atLeast"/>
          <w:jc w:val="center"/>
        </w:trPr>
        <w:tc>
          <w:tcPr>
            <w:tcW w:w="5900"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1999"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1999"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2496"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r>
      <w:tr>
        <w:tblPrEx>
          <w:tblCellMar>
            <w:top w:w="0" w:type="dxa"/>
            <w:left w:w="108" w:type="dxa"/>
            <w:bottom w:w="0" w:type="dxa"/>
            <w:right w:w="108" w:type="dxa"/>
          </w:tblCellMar>
        </w:tblPrEx>
        <w:trPr>
          <w:trHeight w:val="308" w:hRule="atLeast"/>
          <w:jc w:val="center"/>
        </w:trPr>
        <w:tc>
          <w:tcPr>
            <w:tcW w:w="5900"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合计</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712.80</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554.82</w:t>
            </w:r>
          </w:p>
        </w:tc>
        <w:tc>
          <w:tcPr>
            <w:tcW w:w="24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157.98</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w:t>
            </w:r>
          </w:p>
        </w:tc>
        <w:tc>
          <w:tcPr>
            <w:tcW w:w="510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教育支出</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458.15</w:t>
            </w:r>
          </w:p>
        </w:tc>
        <w:tc>
          <w:tcPr>
            <w:tcW w:w="24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75.47</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20502</w:t>
            </w:r>
          </w:p>
        </w:tc>
        <w:tc>
          <w:tcPr>
            <w:tcW w:w="510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普通教育</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458.15</w:t>
            </w:r>
          </w:p>
        </w:tc>
        <w:tc>
          <w:tcPr>
            <w:tcW w:w="24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75.47</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2050202</w:t>
            </w:r>
          </w:p>
        </w:tc>
        <w:tc>
          <w:tcPr>
            <w:tcW w:w="5100"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小学教育</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533.62</w:t>
            </w:r>
          </w:p>
        </w:tc>
        <w:tc>
          <w:tcPr>
            <w:tcW w:w="199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458.15</w:t>
            </w:r>
          </w:p>
        </w:tc>
        <w:tc>
          <w:tcPr>
            <w:tcW w:w="24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75.47</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文化旅游体育与传媒支出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55.99</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82.51</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20701</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文化和旅游</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55.99</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82.51</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2070114</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旅游行业业务管理</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138.50</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55.99</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82.51</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社会保障和就业支出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9.84</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20805</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行政事业单位离退休</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2080505</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机关事业单位基本养老保险缴费支出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20899</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其他社会保障和就业支出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2089901</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其他社会保障和就业支出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0.38</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卫生健康支出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21011</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行政事业单位医疗</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2101102</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事业单位医疗</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农林水支出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21305</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扶贫</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2130599</w:t>
            </w:r>
          </w:p>
        </w:tc>
        <w:tc>
          <w:tcPr>
            <w:tcW w:w="510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其他扶贫支出</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199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27.56</w:t>
            </w:r>
          </w:p>
        </w:tc>
        <w:tc>
          <w:tcPr>
            <w:tcW w:w="24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12394" w:type="dxa"/>
            <w:gridSpan w:val="7"/>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注：本表反映部门本年度一般公共预算财政拨款支出情况。本表金额转换为万元时，因四舍五入可能存在尾差。</w:t>
            </w:r>
          </w:p>
        </w:tc>
      </w:tr>
    </w:tbl>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tbl>
      <w:tblPr>
        <w:tblStyle w:val="4"/>
        <w:tblW w:w="14180" w:type="dxa"/>
        <w:jc w:val="center"/>
        <w:tblLayout w:type="autofit"/>
        <w:tblCellMar>
          <w:top w:w="0" w:type="dxa"/>
          <w:left w:w="108" w:type="dxa"/>
          <w:bottom w:w="0" w:type="dxa"/>
          <w:right w:w="108" w:type="dxa"/>
        </w:tblCellMar>
      </w:tblPr>
      <w:tblGrid>
        <w:gridCol w:w="766"/>
        <w:gridCol w:w="3330"/>
        <w:gridCol w:w="876"/>
        <w:gridCol w:w="766"/>
        <w:gridCol w:w="2230"/>
        <w:gridCol w:w="876"/>
        <w:gridCol w:w="766"/>
        <w:gridCol w:w="4210"/>
        <w:gridCol w:w="1290"/>
      </w:tblGrid>
      <w:tr>
        <w:tblPrEx>
          <w:tblCellMar>
            <w:top w:w="0" w:type="dxa"/>
            <w:left w:w="108" w:type="dxa"/>
            <w:bottom w:w="0" w:type="dxa"/>
            <w:right w:w="108" w:type="dxa"/>
          </w:tblCellMar>
        </w:tblPrEx>
        <w:trPr>
          <w:trHeight w:val="390" w:hRule="atLeast"/>
          <w:jc w:val="center"/>
        </w:trPr>
        <w:tc>
          <w:tcPr>
            <w:tcW w:w="14180" w:type="dxa"/>
            <w:gridSpan w:val="9"/>
            <w:tcBorders>
              <w:top w:val="nil"/>
              <w:left w:val="nil"/>
              <w:bottom w:val="nil"/>
              <w:right w:val="nil"/>
            </w:tcBorders>
            <w:shd w:val="clear" w:color="000000" w:fill="FFFFFF"/>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一般公共预算财政拨款基本支出决算表</w:t>
            </w:r>
          </w:p>
        </w:tc>
      </w:tr>
      <w:tr>
        <w:tblPrEx>
          <w:tblCellMar>
            <w:top w:w="0" w:type="dxa"/>
            <w:left w:w="108" w:type="dxa"/>
            <w:bottom w:w="0" w:type="dxa"/>
            <w:right w:w="108" w:type="dxa"/>
          </w:tblCellMar>
        </w:tblPrEx>
        <w:trPr>
          <w:trHeight w:val="255" w:hRule="atLeast"/>
          <w:jc w:val="center"/>
        </w:trPr>
        <w:tc>
          <w:tcPr>
            <w:tcW w:w="58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333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69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58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223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69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58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21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290"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18"/>
                <w:szCs w:val="18"/>
              </w:rPr>
            </w:pPr>
            <w:r>
              <w:rPr>
                <w:rFonts w:hint="eastAsia" w:ascii="宋体" w:hAnsi="宋体" w:eastAsia="宋体" w:cs="Arial"/>
                <w:color w:val="000000"/>
                <w:kern w:val="0"/>
                <w:sz w:val="18"/>
                <w:szCs w:val="18"/>
              </w:rPr>
              <w:t>公开06表</w:t>
            </w:r>
          </w:p>
        </w:tc>
      </w:tr>
      <w:tr>
        <w:tblPrEx>
          <w:tblCellMar>
            <w:top w:w="0" w:type="dxa"/>
            <w:left w:w="108" w:type="dxa"/>
            <w:bottom w:w="0" w:type="dxa"/>
            <w:right w:w="108" w:type="dxa"/>
          </w:tblCellMar>
        </w:tblPrEx>
        <w:trPr>
          <w:trHeight w:val="255" w:hRule="atLeast"/>
          <w:jc w:val="center"/>
        </w:trPr>
        <w:tc>
          <w:tcPr>
            <w:tcW w:w="4600" w:type="dxa"/>
            <w:gridSpan w:val="3"/>
            <w:tcBorders>
              <w:top w:val="nil"/>
              <w:left w:val="nil"/>
              <w:bottom w:val="nil"/>
              <w:right w:val="nil"/>
            </w:tcBorders>
            <w:shd w:val="clear" w:color="000000" w:fill="FFFFFF"/>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58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223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69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58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4210" w:type="dxa"/>
            <w:tcBorders>
              <w:top w:val="nil"/>
              <w:left w:val="nil"/>
              <w:bottom w:val="nil"/>
              <w:right w:val="nil"/>
            </w:tcBorders>
            <w:shd w:val="clear" w:color="000000" w:fill="FFFFFF"/>
            <w:noWrap/>
            <w:vAlign w:val="bottom"/>
          </w:tcPr>
          <w:p>
            <w:pPr>
              <w:widowControl/>
              <w:jc w:val="left"/>
              <w:rPr>
                <w:rFonts w:ascii="Arial" w:hAnsi="Arial" w:eastAsia="宋体" w:cs="Arial"/>
                <w:color w:val="000000"/>
                <w:kern w:val="0"/>
                <w:sz w:val="20"/>
                <w:szCs w:val="20"/>
              </w:rPr>
            </w:pPr>
            <w:r>
              <w:rPr>
                <w:rFonts w:ascii="Arial" w:hAnsi="Arial" w:eastAsia="宋体" w:cs="Arial"/>
                <w:color w:val="000000"/>
                <w:kern w:val="0"/>
                <w:sz w:val="20"/>
                <w:szCs w:val="20"/>
              </w:rPr>
              <w:t>　</w:t>
            </w:r>
          </w:p>
        </w:tc>
        <w:tc>
          <w:tcPr>
            <w:tcW w:w="1290" w:type="dxa"/>
            <w:tcBorders>
              <w:top w:val="nil"/>
              <w:left w:val="nil"/>
              <w:bottom w:val="nil"/>
              <w:right w:val="nil"/>
            </w:tcBorders>
            <w:shd w:val="clear" w:color="000000" w:fill="FFFFFF"/>
            <w:noWrap/>
            <w:vAlign w:val="bottom"/>
          </w:tcPr>
          <w:p>
            <w:pPr>
              <w:widowControl/>
              <w:jc w:val="right"/>
              <w:rPr>
                <w:rFonts w:ascii="宋体" w:hAnsi="宋体" w:eastAsia="宋体" w:cs="Arial"/>
                <w:color w:val="000000"/>
                <w:kern w:val="0"/>
                <w:sz w:val="18"/>
                <w:szCs w:val="18"/>
              </w:rPr>
            </w:pPr>
            <w:r>
              <w:rPr>
                <w:rFonts w:hint="eastAsia" w:ascii="宋体" w:hAnsi="宋体" w:eastAsia="宋体" w:cs="Arial"/>
                <w:color w:val="000000"/>
                <w:kern w:val="0"/>
                <w:sz w:val="18"/>
                <w:szCs w:val="18"/>
              </w:rPr>
              <w:t>金额单位：万元</w:t>
            </w:r>
          </w:p>
        </w:tc>
      </w:tr>
      <w:tr>
        <w:tblPrEx>
          <w:tblCellMar>
            <w:top w:w="0" w:type="dxa"/>
            <w:left w:w="108" w:type="dxa"/>
            <w:bottom w:w="0" w:type="dxa"/>
            <w:right w:w="108" w:type="dxa"/>
          </w:tblCellMar>
        </w:tblPrEx>
        <w:trPr>
          <w:trHeight w:val="308" w:hRule="atLeast"/>
          <w:jc w:val="center"/>
        </w:trPr>
        <w:tc>
          <w:tcPr>
            <w:tcW w:w="4600" w:type="dxa"/>
            <w:gridSpan w:val="3"/>
            <w:tcBorders>
              <w:top w:val="single" w:color="000000" w:sz="4" w:space="0"/>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人员经费</w:t>
            </w:r>
          </w:p>
        </w:tc>
        <w:tc>
          <w:tcPr>
            <w:tcW w:w="9580" w:type="dxa"/>
            <w:gridSpan w:val="6"/>
            <w:tcBorders>
              <w:top w:val="single" w:color="000000" w:sz="4" w:space="0"/>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公用经费</w:t>
            </w:r>
          </w:p>
        </w:tc>
      </w:tr>
      <w:tr>
        <w:tblPrEx>
          <w:tblCellMar>
            <w:top w:w="0" w:type="dxa"/>
            <w:left w:w="108" w:type="dxa"/>
            <w:bottom w:w="0" w:type="dxa"/>
            <w:right w:w="108" w:type="dxa"/>
          </w:tblCellMar>
        </w:tblPrEx>
        <w:trPr>
          <w:trHeight w:val="312" w:hRule="atLeast"/>
          <w:jc w:val="center"/>
        </w:trPr>
        <w:tc>
          <w:tcPr>
            <w:tcW w:w="580" w:type="dxa"/>
            <w:vMerge w:val="restart"/>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科目编码</w:t>
            </w:r>
          </w:p>
        </w:tc>
        <w:tc>
          <w:tcPr>
            <w:tcW w:w="333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科目名称</w:t>
            </w:r>
          </w:p>
        </w:tc>
        <w:tc>
          <w:tcPr>
            <w:tcW w:w="69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决算数</w:t>
            </w:r>
          </w:p>
        </w:tc>
        <w:tc>
          <w:tcPr>
            <w:tcW w:w="5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科目编码</w:t>
            </w:r>
          </w:p>
        </w:tc>
        <w:tc>
          <w:tcPr>
            <w:tcW w:w="223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科目名称</w:t>
            </w:r>
          </w:p>
        </w:tc>
        <w:tc>
          <w:tcPr>
            <w:tcW w:w="69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决算数</w:t>
            </w:r>
          </w:p>
        </w:tc>
        <w:tc>
          <w:tcPr>
            <w:tcW w:w="5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科目编码</w:t>
            </w:r>
          </w:p>
        </w:tc>
        <w:tc>
          <w:tcPr>
            <w:tcW w:w="421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科目名称</w:t>
            </w:r>
          </w:p>
        </w:tc>
        <w:tc>
          <w:tcPr>
            <w:tcW w:w="129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决算数</w:t>
            </w:r>
          </w:p>
        </w:tc>
      </w:tr>
      <w:tr>
        <w:tblPrEx>
          <w:tblCellMar>
            <w:top w:w="0" w:type="dxa"/>
            <w:left w:w="108" w:type="dxa"/>
            <w:bottom w:w="0" w:type="dxa"/>
            <w:right w:w="108" w:type="dxa"/>
          </w:tblCellMar>
        </w:tblPrEx>
        <w:trPr>
          <w:trHeight w:val="312" w:hRule="atLeast"/>
          <w:jc w:val="center"/>
        </w:trPr>
        <w:tc>
          <w:tcPr>
            <w:tcW w:w="58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333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69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223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69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421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29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工资福利支出</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123.90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商品和服务支出</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413.36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307</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债务利息及费用支出</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30101</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基本工资</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105.17</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30201</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办公费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83.87</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30701</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国内债务付息</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30102</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津贴补贴</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1.06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30202</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印刷费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1.86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30702</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国外债务付息</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30103</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奖金</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30203</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咨询费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0.66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资本性支出</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30106</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伙食补助费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30204</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手续费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0.09</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31001</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房屋建筑物购建</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30107</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绩效工资</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4.46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30205</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水费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31002</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办公设备购置</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30108</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机关事业单位基本养老保险缴费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9.46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30206</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电费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0.82</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31003</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专用设备购置</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30109</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职业年金缴费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30207</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邮电费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31005</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基础设施建设</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30110</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职工基本医疗保险缴费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3.28</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30208</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取暖费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31006</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大型修缮</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30111</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公务员医疗补助缴费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30209</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物业管理费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31007</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信息网络及软件购置更新</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30112</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其他社会保障缴费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0.48</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30211</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差旅费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31008</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物资储备</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30113</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住房公积金</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30212</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因公出国（境）费用</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31009</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土地补偿</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30114</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医疗费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30213</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维修（护）费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35.83</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31010</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安置补助</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30199</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其他工资福利支出</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30214</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租赁费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22.90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31011</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地上附着物和青苗补偿</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对个人和家庭的补助</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17.56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30215</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会议费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31012</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拆迁补偿</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30301</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离休费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30216</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培训费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31013</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公务用车购置</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30302</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退休费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30217</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公务接待费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31019</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其他交通工具购置</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30303</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退职（役）费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30218</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专用材料费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31021</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文物和陈列品购置</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30304</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抚恤金</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30224</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被装购置费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31022</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无形资产购置</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30305</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生活补助</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17.56</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30225</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专用燃料费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31099</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其他资本性支出</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30306</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救济费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30226</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劳务费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237.28</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399</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其他支出</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30307</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医疗费补助</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30227</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委托业务费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12.40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39906</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赠与</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30308</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助学金</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30228</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工会经费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39907</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国家赔偿费用支出</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30309</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奖励金</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30229</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福利费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0.80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39908</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对民间非营利组织和群众性自治组织补贴</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30310</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个人农业生产补贴</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30231</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公务用车运行维护费</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39999</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其他支出</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30399</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其他对个人和家庭的补助</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30239</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其他交通费用</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16.85</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30240</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税金及附加费用</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580" w:type="dxa"/>
            <w:tcBorders>
              <w:top w:val="nil"/>
              <w:left w:val="single" w:color="000000" w:sz="4" w:space="0"/>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33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30299</w:t>
            </w:r>
          </w:p>
        </w:tc>
        <w:tc>
          <w:tcPr>
            <w:tcW w:w="223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xml:space="preserve">  其他商品和服务支出</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0.00</w:t>
            </w:r>
          </w:p>
        </w:tc>
        <w:tc>
          <w:tcPr>
            <w:tcW w:w="58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4210" w:type="dxa"/>
            <w:tcBorders>
              <w:top w:val="nil"/>
              <w:left w:val="nil"/>
              <w:bottom w:val="single" w:color="000000" w:sz="4" w:space="0"/>
              <w:right w:val="single" w:color="000000" w:sz="4" w:space="0"/>
            </w:tcBorders>
            <w:shd w:val="clear" w:color="FFFFFF"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3910" w:type="dxa"/>
            <w:gridSpan w:val="2"/>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人员经费合计</w:t>
            </w:r>
          </w:p>
        </w:tc>
        <w:tc>
          <w:tcPr>
            <w:tcW w:w="6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141.46</w:t>
            </w:r>
          </w:p>
        </w:tc>
        <w:tc>
          <w:tcPr>
            <w:tcW w:w="8290" w:type="dxa"/>
            <w:gridSpan w:val="5"/>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公用经费合计</w:t>
            </w:r>
          </w:p>
        </w:tc>
        <w:tc>
          <w:tcPr>
            <w:tcW w:w="129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413.36</w:t>
            </w:r>
          </w:p>
        </w:tc>
      </w:tr>
      <w:tr>
        <w:tblPrEx>
          <w:tblCellMar>
            <w:top w:w="0" w:type="dxa"/>
            <w:left w:w="108" w:type="dxa"/>
            <w:bottom w:w="0" w:type="dxa"/>
            <w:right w:w="108" w:type="dxa"/>
          </w:tblCellMar>
        </w:tblPrEx>
        <w:trPr>
          <w:trHeight w:val="308" w:hRule="atLeast"/>
          <w:jc w:val="center"/>
        </w:trPr>
        <w:tc>
          <w:tcPr>
            <w:tcW w:w="14180" w:type="dxa"/>
            <w:gridSpan w:val="9"/>
            <w:tcBorders>
              <w:top w:val="nil"/>
              <w:left w:val="nil"/>
              <w:bottom w:val="nil"/>
              <w:right w:val="nil"/>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注：本表反映部门本年度一般公共预算财政拨款基本支出明细情况。本表金额转换为万元时，因四舍五入可能存在尾差。</w:t>
            </w:r>
          </w:p>
        </w:tc>
      </w:tr>
    </w:tbl>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tbl>
      <w:tblPr>
        <w:tblStyle w:val="4"/>
        <w:tblW w:w="13922" w:type="dxa"/>
        <w:jc w:val="center"/>
        <w:tblLayout w:type="autofit"/>
        <w:tblCellMar>
          <w:top w:w="0" w:type="dxa"/>
          <w:left w:w="108" w:type="dxa"/>
          <w:bottom w:w="0" w:type="dxa"/>
          <w:right w:w="108" w:type="dxa"/>
        </w:tblCellMar>
      </w:tblPr>
      <w:tblGrid>
        <w:gridCol w:w="1160"/>
        <w:gridCol w:w="1160"/>
        <w:gridCol w:w="1160"/>
        <w:gridCol w:w="1160"/>
        <w:gridCol w:w="1160"/>
        <w:gridCol w:w="1160"/>
        <w:gridCol w:w="1160"/>
        <w:gridCol w:w="1160"/>
        <w:gridCol w:w="1111"/>
        <w:gridCol w:w="1069"/>
        <w:gridCol w:w="1032"/>
        <w:gridCol w:w="1430"/>
      </w:tblGrid>
      <w:tr>
        <w:tblPrEx>
          <w:tblCellMar>
            <w:top w:w="0" w:type="dxa"/>
            <w:left w:w="108" w:type="dxa"/>
            <w:bottom w:w="0" w:type="dxa"/>
            <w:right w:w="108" w:type="dxa"/>
          </w:tblCellMar>
        </w:tblPrEx>
        <w:trPr>
          <w:trHeight w:val="540" w:hRule="atLeast"/>
          <w:jc w:val="center"/>
        </w:trPr>
        <w:tc>
          <w:tcPr>
            <w:tcW w:w="13922" w:type="dxa"/>
            <w:gridSpan w:val="12"/>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44"/>
                <w:szCs w:val="44"/>
              </w:rPr>
            </w:pPr>
            <w:r>
              <w:rPr>
                <w:rFonts w:hint="eastAsia" w:ascii="宋体" w:hAnsi="宋体" w:eastAsia="宋体" w:cs="Arial"/>
                <w:color w:val="000000"/>
                <w:kern w:val="0"/>
                <w:sz w:val="44"/>
                <w:szCs w:val="44"/>
              </w:rPr>
              <w:t>一般公共预算财政拨款“三公”经费支出决算表</w:t>
            </w:r>
          </w:p>
        </w:tc>
      </w:tr>
      <w:tr>
        <w:tblPrEx>
          <w:tblCellMar>
            <w:top w:w="0" w:type="dxa"/>
            <w:left w:w="108" w:type="dxa"/>
            <w:bottom w:w="0" w:type="dxa"/>
            <w:right w:w="108" w:type="dxa"/>
          </w:tblCellMar>
        </w:tblPrEx>
        <w:trPr>
          <w:trHeight w:val="255" w:hRule="atLeast"/>
          <w:jc w:val="center"/>
        </w:trPr>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11"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06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03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430"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公开07表</w:t>
            </w:r>
          </w:p>
        </w:tc>
      </w:tr>
      <w:tr>
        <w:tblPrEx>
          <w:tblCellMar>
            <w:top w:w="0" w:type="dxa"/>
            <w:left w:w="108" w:type="dxa"/>
            <w:bottom w:w="0" w:type="dxa"/>
            <w:right w:w="108" w:type="dxa"/>
          </w:tblCellMar>
        </w:tblPrEx>
        <w:trPr>
          <w:trHeight w:val="255" w:hRule="atLeast"/>
          <w:jc w:val="center"/>
        </w:trPr>
        <w:tc>
          <w:tcPr>
            <w:tcW w:w="4640" w:type="dxa"/>
            <w:gridSpan w:val="4"/>
            <w:tcBorders>
              <w:top w:val="nil"/>
              <w:left w:val="nil"/>
              <w:bottom w:val="nil"/>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6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11"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06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03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430"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jc w:val="center"/>
        </w:trPr>
        <w:tc>
          <w:tcPr>
            <w:tcW w:w="6960" w:type="dxa"/>
            <w:gridSpan w:val="6"/>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预算数</w:t>
            </w:r>
          </w:p>
        </w:tc>
        <w:tc>
          <w:tcPr>
            <w:tcW w:w="6962" w:type="dxa"/>
            <w:gridSpan w:val="6"/>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决算数</w:t>
            </w:r>
          </w:p>
        </w:tc>
      </w:tr>
      <w:tr>
        <w:tblPrEx>
          <w:tblCellMar>
            <w:top w:w="0" w:type="dxa"/>
            <w:left w:w="108" w:type="dxa"/>
            <w:bottom w:w="0" w:type="dxa"/>
            <w:right w:w="108" w:type="dxa"/>
          </w:tblCellMar>
        </w:tblPrEx>
        <w:trPr>
          <w:trHeight w:val="308" w:hRule="atLeast"/>
          <w:jc w:val="center"/>
        </w:trPr>
        <w:tc>
          <w:tcPr>
            <w:tcW w:w="1160" w:type="dxa"/>
            <w:vMerge w:val="restart"/>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合计</w:t>
            </w:r>
          </w:p>
        </w:tc>
        <w:tc>
          <w:tcPr>
            <w:tcW w:w="11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因公出国（境）费</w:t>
            </w:r>
          </w:p>
        </w:tc>
        <w:tc>
          <w:tcPr>
            <w:tcW w:w="3480" w:type="dxa"/>
            <w:gridSpan w:val="3"/>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公务用车购置及运行费</w:t>
            </w:r>
          </w:p>
        </w:tc>
        <w:tc>
          <w:tcPr>
            <w:tcW w:w="11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公务接待费</w:t>
            </w:r>
          </w:p>
        </w:tc>
        <w:tc>
          <w:tcPr>
            <w:tcW w:w="11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合计</w:t>
            </w:r>
          </w:p>
        </w:tc>
        <w:tc>
          <w:tcPr>
            <w:tcW w:w="11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因公出国（境）费</w:t>
            </w:r>
          </w:p>
        </w:tc>
        <w:tc>
          <w:tcPr>
            <w:tcW w:w="3212" w:type="dxa"/>
            <w:gridSpan w:val="3"/>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公务用车购置及运行费</w:t>
            </w:r>
          </w:p>
        </w:tc>
        <w:tc>
          <w:tcPr>
            <w:tcW w:w="143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公务接待费</w:t>
            </w:r>
          </w:p>
        </w:tc>
      </w:tr>
      <w:tr>
        <w:tblPrEx>
          <w:tblCellMar>
            <w:top w:w="0" w:type="dxa"/>
            <w:left w:w="108" w:type="dxa"/>
            <w:bottom w:w="0" w:type="dxa"/>
            <w:right w:w="108" w:type="dxa"/>
          </w:tblCellMar>
        </w:tblPrEx>
        <w:trPr>
          <w:trHeight w:val="615" w:hRule="atLeast"/>
          <w:jc w:val="center"/>
        </w:trPr>
        <w:tc>
          <w:tcPr>
            <w:tcW w:w="116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6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小计</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公务用车购置费</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公务用车运行费</w:t>
            </w:r>
          </w:p>
        </w:tc>
        <w:tc>
          <w:tcPr>
            <w:tcW w:w="116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6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6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111"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小计</w:t>
            </w:r>
          </w:p>
        </w:tc>
        <w:tc>
          <w:tcPr>
            <w:tcW w:w="1069"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公务用车购置费</w:t>
            </w:r>
          </w:p>
        </w:tc>
        <w:tc>
          <w:tcPr>
            <w:tcW w:w="1032"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公务用车运行费</w:t>
            </w:r>
          </w:p>
        </w:tc>
        <w:tc>
          <w:tcPr>
            <w:tcW w:w="1430"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08" w:hRule="atLeast"/>
          <w:jc w:val="center"/>
        </w:trPr>
        <w:tc>
          <w:tcPr>
            <w:tcW w:w="1160" w:type="dxa"/>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6</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7</w:t>
            </w:r>
          </w:p>
        </w:tc>
        <w:tc>
          <w:tcPr>
            <w:tcW w:w="11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8</w:t>
            </w:r>
          </w:p>
        </w:tc>
        <w:tc>
          <w:tcPr>
            <w:tcW w:w="1111"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9</w:t>
            </w:r>
          </w:p>
        </w:tc>
        <w:tc>
          <w:tcPr>
            <w:tcW w:w="1069"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10</w:t>
            </w:r>
          </w:p>
        </w:tc>
        <w:tc>
          <w:tcPr>
            <w:tcW w:w="1032"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11</w:t>
            </w:r>
          </w:p>
        </w:tc>
        <w:tc>
          <w:tcPr>
            <w:tcW w:w="143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12</w:t>
            </w:r>
          </w:p>
        </w:tc>
      </w:tr>
      <w:tr>
        <w:tblPrEx>
          <w:tblCellMar>
            <w:top w:w="0" w:type="dxa"/>
            <w:left w:w="108" w:type="dxa"/>
            <w:bottom w:w="0" w:type="dxa"/>
            <w:right w:w="108" w:type="dxa"/>
          </w:tblCellMar>
        </w:tblPrEx>
        <w:trPr>
          <w:trHeight w:val="308" w:hRule="atLeast"/>
          <w:jc w:val="center"/>
        </w:trPr>
        <w:tc>
          <w:tcPr>
            <w:tcW w:w="1160" w:type="dxa"/>
            <w:tcBorders>
              <w:top w:val="nil"/>
              <w:left w:val="single" w:color="000000" w:sz="4" w:space="0"/>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6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6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6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6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6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6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6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111"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06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032"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430"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r>
      <w:tr>
        <w:tblPrEx>
          <w:tblCellMar>
            <w:top w:w="0" w:type="dxa"/>
            <w:left w:w="108" w:type="dxa"/>
            <w:bottom w:w="0" w:type="dxa"/>
            <w:right w:w="108" w:type="dxa"/>
          </w:tblCellMar>
        </w:tblPrEx>
        <w:trPr>
          <w:trHeight w:val="615" w:hRule="atLeast"/>
          <w:jc w:val="center"/>
        </w:trPr>
        <w:tc>
          <w:tcPr>
            <w:tcW w:w="13922" w:type="dxa"/>
            <w:gridSpan w:val="12"/>
            <w:tcBorders>
              <w:top w:val="nil"/>
              <w:left w:val="nil"/>
              <w:bottom w:val="nil"/>
              <w:right w:val="nil"/>
            </w:tcBorders>
            <w:shd w:val="clear" w:color="auto" w:fill="auto"/>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注：本表反映部门本年度“三公”经费支出预决算情况。其中：预算数为“三公”经费全年预算数，反映按规定程序调整后的预算数；决算数是包括当年一般公共预算财政拨款和以前年度结转资金安排的实际支出。本表金额转换为万元时，因四舍五入可能存在尾差。</w:t>
            </w:r>
          </w:p>
        </w:tc>
      </w:tr>
    </w:tbl>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hint="eastAsia" w:ascii="黑体" w:hAnsi="黑体" w:eastAsia="黑体" w:cs="黑体"/>
          <w:b w:val="0"/>
          <w:color w:val="000000" w:themeColor="text1"/>
          <w:kern w:val="0"/>
          <w:sz w:val="44"/>
          <w:szCs w:val="44"/>
          <w:shd w:val="clear" w:color="auto" w:fill="FFFFFF"/>
        </w:rPr>
      </w:pPr>
    </w:p>
    <w:tbl>
      <w:tblPr>
        <w:tblStyle w:val="4"/>
        <w:tblW w:w="14141" w:type="dxa"/>
        <w:jc w:val="center"/>
        <w:tblLayout w:type="autofit"/>
        <w:tblCellMar>
          <w:top w:w="0" w:type="dxa"/>
          <w:left w:w="108" w:type="dxa"/>
          <w:bottom w:w="0" w:type="dxa"/>
          <w:right w:w="108" w:type="dxa"/>
        </w:tblCellMar>
      </w:tblPr>
      <w:tblGrid>
        <w:gridCol w:w="222"/>
        <w:gridCol w:w="222"/>
        <w:gridCol w:w="222"/>
        <w:gridCol w:w="1848"/>
        <w:gridCol w:w="1959"/>
        <w:gridCol w:w="1797"/>
        <w:gridCol w:w="1797"/>
        <w:gridCol w:w="1797"/>
        <w:gridCol w:w="1797"/>
        <w:gridCol w:w="2896"/>
      </w:tblGrid>
      <w:tr>
        <w:tblPrEx>
          <w:tblCellMar>
            <w:top w:w="0" w:type="dxa"/>
            <w:left w:w="108" w:type="dxa"/>
            <w:bottom w:w="0" w:type="dxa"/>
            <w:right w:w="108" w:type="dxa"/>
          </w:tblCellMar>
        </w:tblPrEx>
        <w:trPr>
          <w:trHeight w:val="390" w:hRule="atLeast"/>
          <w:jc w:val="center"/>
        </w:trPr>
        <w:tc>
          <w:tcPr>
            <w:tcW w:w="14141" w:type="dxa"/>
            <w:gridSpan w:val="10"/>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政府性基金预算财政拨款收入支出决算表</w:t>
            </w:r>
          </w:p>
        </w:tc>
      </w:tr>
      <w:tr>
        <w:tblPrEx>
          <w:tblCellMar>
            <w:top w:w="0" w:type="dxa"/>
            <w:left w:w="108" w:type="dxa"/>
            <w:bottom w:w="0" w:type="dxa"/>
            <w:right w:w="108" w:type="dxa"/>
          </w:tblCellMar>
        </w:tblPrEx>
        <w:trPr>
          <w:trHeight w:val="255" w:hRule="atLeast"/>
          <w:jc w:val="center"/>
        </w:trPr>
        <w:tc>
          <w:tcPr>
            <w:tcW w:w="84"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83"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83"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84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95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896"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公开08表</w:t>
            </w:r>
          </w:p>
        </w:tc>
      </w:tr>
      <w:tr>
        <w:trPr>
          <w:trHeight w:val="255" w:hRule="atLeast"/>
          <w:jc w:val="center"/>
        </w:trPr>
        <w:tc>
          <w:tcPr>
            <w:tcW w:w="4057" w:type="dxa"/>
            <w:gridSpan w:val="5"/>
            <w:tcBorders>
              <w:top w:val="nil"/>
              <w:left w:val="nil"/>
              <w:bottom w:val="nil"/>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部门：周口市淮阳区龙湖风景名胜区保护中心</w:t>
            </w: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79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896" w:type="dxa"/>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jc w:val="center"/>
        </w:trPr>
        <w:tc>
          <w:tcPr>
            <w:tcW w:w="2098" w:type="dxa"/>
            <w:gridSpan w:val="4"/>
            <w:tcBorders>
              <w:top w:val="single" w:color="000000" w:sz="4" w:space="0"/>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w:t>
            </w:r>
          </w:p>
        </w:tc>
        <w:tc>
          <w:tcPr>
            <w:tcW w:w="1959"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年初结转和结余</w:t>
            </w:r>
          </w:p>
        </w:tc>
        <w:tc>
          <w:tcPr>
            <w:tcW w:w="1797"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本年收入</w:t>
            </w:r>
          </w:p>
        </w:tc>
        <w:tc>
          <w:tcPr>
            <w:tcW w:w="5391" w:type="dxa"/>
            <w:gridSpan w:val="3"/>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本年支出</w:t>
            </w:r>
          </w:p>
        </w:tc>
        <w:tc>
          <w:tcPr>
            <w:tcW w:w="2896" w:type="dxa"/>
            <w:vMerge w:val="restart"/>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年末结转和结余</w:t>
            </w:r>
          </w:p>
        </w:tc>
      </w:tr>
      <w:tr>
        <w:trPr>
          <w:trHeight w:val="312" w:hRule="atLeast"/>
          <w:jc w:val="center"/>
        </w:trPr>
        <w:tc>
          <w:tcPr>
            <w:tcW w:w="250" w:type="dxa"/>
            <w:gridSpan w:val="3"/>
            <w:vMerge w:val="restart"/>
            <w:tcBorders>
              <w:top w:val="nil"/>
              <w:left w:val="single" w:color="000000" w:sz="4" w:space="0"/>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功能分类科目编码</w:t>
            </w:r>
          </w:p>
        </w:tc>
        <w:tc>
          <w:tcPr>
            <w:tcW w:w="1848" w:type="dxa"/>
            <w:vMerge w:val="restart"/>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科目名称</w:t>
            </w:r>
          </w:p>
        </w:tc>
        <w:tc>
          <w:tcPr>
            <w:tcW w:w="195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小计</w:t>
            </w:r>
          </w:p>
        </w:tc>
        <w:tc>
          <w:tcPr>
            <w:tcW w:w="1797"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基本支出</w:t>
            </w:r>
          </w:p>
        </w:tc>
        <w:tc>
          <w:tcPr>
            <w:tcW w:w="1797"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项目支出</w:t>
            </w:r>
          </w:p>
        </w:tc>
        <w:tc>
          <w:tcPr>
            <w:tcW w:w="289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rPr>
          <w:trHeight w:val="312" w:hRule="atLeast"/>
          <w:jc w:val="center"/>
        </w:trPr>
        <w:tc>
          <w:tcPr>
            <w:tcW w:w="25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848"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5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289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12" w:hRule="atLeast"/>
          <w:jc w:val="center"/>
        </w:trPr>
        <w:tc>
          <w:tcPr>
            <w:tcW w:w="25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848"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959"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1797"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c>
          <w:tcPr>
            <w:tcW w:w="2896"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eastAsia="宋体" w:cs="Arial"/>
                <w:color w:val="000000"/>
                <w:kern w:val="0"/>
                <w:sz w:val="22"/>
                <w:szCs w:val="22"/>
              </w:rPr>
            </w:pPr>
          </w:p>
        </w:tc>
      </w:tr>
      <w:tr>
        <w:tblPrEx>
          <w:tblCellMar>
            <w:top w:w="0" w:type="dxa"/>
            <w:left w:w="108" w:type="dxa"/>
            <w:bottom w:w="0" w:type="dxa"/>
            <w:right w:w="108" w:type="dxa"/>
          </w:tblCellMar>
        </w:tblPrEx>
        <w:trPr>
          <w:trHeight w:val="308" w:hRule="atLeast"/>
          <w:jc w:val="center"/>
        </w:trPr>
        <w:tc>
          <w:tcPr>
            <w:tcW w:w="2098"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栏次</w:t>
            </w:r>
          </w:p>
        </w:tc>
        <w:tc>
          <w:tcPr>
            <w:tcW w:w="1959"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1</w:t>
            </w:r>
          </w:p>
        </w:tc>
        <w:tc>
          <w:tcPr>
            <w:tcW w:w="179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2</w:t>
            </w:r>
          </w:p>
        </w:tc>
        <w:tc>
          <w:tcPr>
            <w:tcW w:w="179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3</w:t>
            </w:r>
          </w:p>
        </w:tc>
        <w:tc>
          <w:tcPr>
            <w:tcW w:w="179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4</w:t>
            </w:r>
          </w:p>
        </w:tc>
        <w:tc>
          <w:tcPr>
            <w:tcW w:w="1797"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5</w:t>
            </w:r>
          </w:p>
        </w:tc>
        <w:tc>
          <w:tcPr>
            <w:tcW w:w="2896" w:type="dxa"/>
            <w:tcBorders>
              <w:top w:val="nil"/>
              <w:left w:val="nil"/>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6</w:t>
            </w:r>
          </w:p>
        </w:tc>
      </w:tr>
      <w:tr>
        <w:tblPrEx>
          <w:tblCellMar>
            <w:top w:w="0" w:type="dxa"/>
            <w:left w:w="108" w:type="dxa"/>
            <w:bottom w:w="0" w:type="dxa"/>
            <w:right w:w="108" w:type="dxa"/>
          </w:tblCellMar>
        </w:tblPrEx>
        <w:trPr>
          <w:trHeight w:val="308" w:hRule="atLeast"/>
          <w:jc w:val="center"/>
        </w:trPr>
        <w:tc>
          <w:tcPr>
            <w:tcW w:w="2098" w:type="dxa"/>
            <w:gridSpan w:val="4"/>
            <w:tcBorders>
              <w:top w:val="nil"/>
              <w:left w:val="single" w:color="000000" w:sz="4" w:space="0"/>
              <w:bottom w:val="single" w:color="000000" w:sz="4" w:space="0"/>
              <w:right w:val="single" w:color="000000" w:sz="4" w:space="0"/>
            </w:tcBorders>
            <w:shd w:val="clear" w:color="FFFFFF" w:fill="FFFFFF"/>
            <w:noWrap/>
            <w:vAlign w:val="center"/>
          </w:tcPr>
          <w:p>
            <w:pPr>
              <w:widowControl/>
              <w:jc w:val="center"/>
              <w:rPr>
                <w:rFonts w:ascii="宋体" w:hAnsi="宋体" w:eastAsia="宋体" w:cs="Arial"/>
                <w:color w:val="000000"/>
                <w:kern w:val="0"/>
                <w:sz w:val="22"/>
                <w:szCs w:val="22"/>
              </w:rPr>
            </w:pPr>
            <w:r>
              <w:rPr>
                <w:rFonts w:hint="eastAsia" w:ascii="宋体" w:hAnsi="宋体" w:eastAsia="宋体" w:cs="Arial"/>
                <w:color w:val="000000"/>
                <w:kern w:val="0"/>
                <w:sz w:val="22"/>
                <w:szCs w:val="22"/>
              </w:rPr>
              <w:t>合计</w:t>
            </w:r>
          </w:p>
        </w:tc>
        <w:tc>
          <w:tcPr>
            <w:tcW w:w="195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w:t>
            </w:r>
          </w:p>
        </w:tc>
        <w:tc>
          <w:tcPr>
            <w:tcW w:w="28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b/>
                <w:bCs/>
                <w:color w:val="000000"/>
                <w:kern w:val="0"/>
                <w:sz w:val="22"/>
                <w:szCs w:val="22"/>
              </w:rPr>
            </w:pPr>
            <w:r>
              <w:rPr>
                <w:rFonts w:hint="eastAsia" w:ascii="宋体" w:hAnsi="宋体" w:eastAsia="宋体" w:cs="Arial"/>
                <w:b/>
                <w:bCs/>
                <w:color w:val="000000"/>
                <w:kern w:val="0"/>
                <w:sz w:val="22"/>
                <w:szCs w:val="22"/>
              </w:rPr>
              <w:t>0</w:t>
            </w:r>
          </w:p>
        </w:tc>
      </w:tr>
      <w:tr>
        <w:tblPrEx>
          <w:tblCellMar>
            <w:top w:w="0" w:type="dxa"/>
            <w:left w:w="108" w:type="dxa"/>
            <w:bottom w:w="0" w:type="dxa"/>
            <w:right w:w="108" w:type="dxa"/>
          </w:tblCellMar>
        </w:tblPrEx>
        <w:trPr>
          <w:trHeight w:val="308" w:hRule="atLeast"/>
          <w:jc w:val="center"/>
        </w:trPr>
        <w:tc>
          <w:tcPr>
            <w:tcW w:w="25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848"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95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c>
          <w:tcPr>
            <w:tcW w:w="28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0</w:t>
            </w:r>
          </w:p>
        </w:tc>
      </w:tr>
      <w:tr>
        <w:trPr>
          <w:trHeight w:val="308" w:hRule="atLeast"/>
          <w:jc w:val="center"/>
        </w:trPr>
        <w:tc>
          <w:tcPr>
            <w:tcW w:w="25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848"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95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28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rPr>
          <w:trHeight w:val="308" w:hRule="atLeast"/>
          <w:jc w:val="center"/>
        </w:trPr>
        <w:tc>
          <w:tcPr>
            <w:tcW w:w="25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848"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95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28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250" w:type="dxa"/>
            <w:gridSpan w:val="3"/>
            <w:tcBorders>
              <w:top w:val="nil"/>
              <w:left w:val="single" w:color="000000" w:sz="4" w:space="0"/>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848" w:type="dxa"/>
            <w:tcBorders>
              <w:top w:val="nil"/>
              <w:left w:val="nil"/>
              <w:bottom w:val="single" w:color="000000" w:sz="4" w:space="0"/>
              <w:right w:val="single" w:color="000000" w:sz="4" w:space="0"/>
            </w:tcBorders>
            <w:shd w:val="clear" w:color="000000" w:fill="FFFFFF"/>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959"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2896" w:type="dxa"/>
            <w:tcBorders>
              <w:top w:val="nil"/>
              <w:left w:val="nil"/>
              <w:bottom w:val="single" w:color="000000" w:sz="4" w:space="0"/>
              <w:right w:val="single" w:color="000000" w:sz="4" w:space="0"/>
            </w:tcBorders>
            <w:shd w:val="clear" w:color="000000" w:fill="FFFFFF"/>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25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84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9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28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250"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84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9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179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c>
          <w:tcPr>
            <w:tcW w:w="289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szCs w:val="22"/>
              </w:rPr>
            </w:pPr>
            <w:r>
              <w:rPr>
                <w:rFonts w:hint="eastAsia" w:ascii="宋体" w:hAnsi="宋体" w:eastAsia="宋体" w:cs="Arial"/>
                <w:color w:val="000000"/>
                <w:kern w:val="0"/>
                <w:sz w:val="22"/>
                <w:szCs w:val="22"/>
              </w:rPr>
              <w:t>　</w:t>
            </w:r>
          </w:p>
        </w:tc>
      </w:tr>
      <w:tr>
        <w:tblPrEx>
          <w:tblCellMar>
            <w:top w:w="0" w:type="dxa"/>
            <w:left w:w="108" w:type="dxa"/>
            <w:bottom w:w="0" w:type="dxa"/>
            <w:right w:w="108" w:type="dxa"/>
          </w:tblCellMar>
        </w:tblPrEx>
        <w:trPr>
          <w:trHeight w:val="308" w:hRule="atLeast"/>
          <w:jc w:val="center"/>
        </w:trPr>
        <w:tc>
          <w:tcPr>
            <w:tcW w:w="14141" w:type="dxa"/>
            <w:gridSpan w:val="10"/>
            <w:tcBorders>
              <w:top w:val="nil"/>
              <w:left w:val="nil"/>
              <w:bottom w:val="nil"/>
              <w:right w:val="nil"/>
            </w:tcBorders>
            <w:shd w:val="clear" w:color="auto" w:fill="auto"/>
            <w:noWrap/>
            <w:vAlign w:val="center"/>
          </w:tcPr>
          <w:p>
            <w:pPr>
              <w:widowControl/>
              <w:jc w:val="left"/>
              <w:rPr>
                <w:rFonts w:hint="default" w:ascii="宋体" w:hAnsi="宋体" w:eastAsia="宋体" w:cs="Arial"/>
                <w:color w:val="000000"/>
                <w:kern w:val="0"/>
                <w:sz w:val="22"/>
                <w:szCs w:val="22"/>
                <w:lang w:val="en-US" w:eastAsia="zh-CN"/>
              </w:rPr>
            </w:pPr>
            <w:r>
              <w:rPr>
                <w:rFonts w:hint="eastAsia" w:ascii="宋体" w:hAnsi="宋体" w:eastAsia="宋体" w:cs="Arial"/>
                <w:color w:val="000000"/>
                <w:kern w:val="0"/>
                <w:sz w:val="22"/>
                <w:szCs w:val="22"/>
              </w:rPr>
              <w:t>注：本表反映部门本年度政府性基金预算财政拨款收入、支出及结转和结余情况。政府性基金预算财政拨款收入、支出</w:t>
            </w:r>
            <w:r>
              <w:rPr>
                <w:rFonts w:hint="eastAsia" w:ascii="宋体" w:hAnsi="宋体" w:eastAsia="宋体" w:cs="Arial"/>
                <w:color w:val="000000"/>
                <w:kern w:val="0"/>
                <w:sz w:val="22"/>
                <w:szCs w:val="22"/>
                <w:lang w:eastAsia="zh-CN"/>
              </w:rPr>
              <w:t>均为</w:t>
            </w:r>
            <w:r>
              <w:rPr>
                <w:rFonts w:hint="eastAsia" w:ascii="宋体" w:hAnsi="宋体" w:eastAsia="宋体" w:cs="Arial"/>
                <w:color w:val="000000"/>
                <w:kern w:val="0"/>
                <w:sz w:val="22"/>
                <w:szCs w:val="22"/>
                <w:lang w:val="en-US" w:eastAsia="zh-CN"/>
              </w:rPr>
              <w:t>0.</w:t>
            </w:r>
          </w:p>
        </w:tc>
      </w:tr>
    </w:tbl>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rPr>
          <w:rStyle w:val="6"/>
          <w:rFonts w:ascii="黑体" w:hAnsi="黑体" w:eastAsia="黑体" w:cs="黑体"/>
          <w:b w:val="0"/>
          <w:color w:val="000000" w:themeColor="text1"/>
          <w:kern w:val="0"/>
          <w:sz w:val="44"/>
          <w:szCs w:val="44"/>
          <w:shd w:val="clear" w:color="auto" w:fill="FFFFFF"/>
        </w:rPr>
        <w:sectPr>
          <w:pgSz w:w="16838" w:h="11906" w:orient="landscape"/>
          <w:pgMar w:top="720" w:right="720" w:bottom="720" w:left="720" w:header="851" w:footer="992" w:gutter="0"/>
          <w:cols w:space="425" w:num="1"/>
          <w:docGrid w:type="lines" w:linePitch="312" w:charSpace="0"/>
        </w:sectPr>
      </w:pPr>
    </w:p>
    <w:p>
      <w:pPr>
        <w:widowControl/>
        <w:shd w:val="clear" w:color="auto" w:fill="FFFFFF"/>
        <w:spacing w:line="408" w:lineRule="atLeast"/>
        <w:rPr>
          <w:rStyle w:val="6"/>
          <w:rFonts w:ascii="黑体" w:hAnsi="黑体" w:eastAsia="黑体" w:cs="黑体"/>
          <w:b w:val="0"/>
          <w:color w:val="000000" w:themeColor="text1"/>
          <w:kern w:val="0"/>
          <w:sz w:val="44"/>
          <w:szCs w:val="44"/>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r>
        <w:rPr>
          <w:rStyle w:val="6"/>
          <w:rFonts w:hint="eastAsia" w:ascii="黑体" w:hAnsi="黑体" w:eastAsia="黑体" w:cs="黑体"/>
          <w:b w:val="0"/>
          <w:color w:val="000000" w:themeColor="text1"/>
          <w:kern w:val="0"/>
          <w:sz w:val="44"/>
          <w:szCs w:val="44"/>
          <w:shd w:val="clear" w:color="auto" w:fill="FFFFFF"/>
        </w:rPr>
        <w:t>第三部分  2019年度部门决算情况说明</w:t>
      </w:r>
    </w:p>
    <w:p>
      <w:pPr>
        <w:widowControl/>
        <w:shd w:val="clear" w:color="auto" w:fill="FFFFFF"/>
        <w:spacing w:line="270" w:lineRule="atLeast"/>
        <w:ind w:firstLine="640"/>
        <w:jc w:val="left"/>
        <w:rPr>
          <w:rFonts w:ascii="宋体" w:hAnsi="宋体" w:eastAsia="宋体" w:cs="宋体"/>
          <w:color w:val="000000" w:themeColor="text1"/>
          <w:sz w:val="44"/>
          <w:szCs w:val="44"/>
        </w:rPr>
      </w:pPr>
      <w:r>
        <w:rPr>
          <w:rFonts w:hint="eastAsia" w:ascii="黑体" w:hAnsi="宋体" w:eastAsia="黑体" w:cs="黑体"/>
          <w:color w:val="000000" w:themeColor="text1"/>
          <w:kern w:val="0"/>
          <w:sz w:val="44"/>
          <w:szCs w:val="44"/>
          <w:shd w:val="clear" w:color="auto" w:fill="FFFFFF"/>
        </w:rPr>
        <w:t> </w:t>
      </w:r>
    </w:p>
    <w:p>
      <w:pPr>
        <w:widowControl/>
        <w:shd w:val="clear" w:color="auto" w:fill="FFFFFF"/>
        <w:spacing w:line="270" w:lineRule="atLeast"/>
        <w:ind w:firstLine="640"/>
        <w:jc w:val="left"/>
        <w:rPr>
          <w:rFonts w:ascii="黑体" w:hAnsi="黑体" w:eastAsia="黑体" w:cs="黑体"/>
          <w:color w:val="000000" w:themeColor="text1"/>
          <w:sz w:val="32"/>
          <w:szCs w:val="32"/>
        </w:rPr>
      </w:pPr>
      <w:r>
        <w:rPr>
          <w:rFonts w:hint="eastAsia" w:ascii="黑体" w:hAnsi="黑体" w:eastAsia="黑体" w:cs="黑体"/>
          <w:color w:val="000000" w:themeColor="text1"/>
          <w:kern w:val="0"/>
          <w:sz w:val="32"/>
          <w:szCs w:val="32"/>
          <w:shd w:val="clear" w:color="auto" w:fill="FFFFFF"/>
        </w:rPr>
        <w:t>一、关于收入支出决算总体情况说明</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2019年度收、支总计均为712.8万元。与2018年相比，收、支总计各2595.02万元,减少了</w:t>
      </w:r>
      <w:r>
        <w:rPr>
          <w:rFonts w:hint="eastAsia" w:ascii="仿宋_GB2312" w:hAnsi="宋体" w:eastAsia="仿宋_GB2312" w:cs="仿宋_GB2312"/>
          <w:color w:val="000000" w:themeColor="text1"/>
          <w:kern w:val="0"/>
          <w:sz w:val="32"/>
          <w:szCs w:val="32"/>
          <w:shd w:val="clear" w:color="auto" w:fill="FFFFFF"/>
          <w:lang w:val="en-US" w:eastAsia="zh-CN"/>
        </w:rPr>
        <w:t>72.53</w:t>
      </w:r>
      <w:r>
        <w:rPr>
          <w:rFonts w:hint="eastAsia" w:ascii="仿宋_GB2312" w:hAnsi="宋体" w:eastAsia="仿宋_GB2312" w:cs="仿宋_GB2312"/>
          <w:color w:val="000000" w:themeColor="text1"/>
          <w:kern w:val="0"/>
          <w:sz w:val="32"/>
          <w:szCs w:val="32"/>
          <w:shd w:val="clear" w:color="auto" w:fill="FFFFFF"/>
        </w:rPr>
        <w:t>%。主要原因是减少了增收补偿方面的资金投入。</w:t>
      </w:r>
    </w:p>
    <w:p>
      <w:pPr>
        <w:widowControl/>
        <w:shd w:val="clear" w:color="auto" w:fill="FFFFFF"/>
        <w:spacing w:line="270" w:lineRule="atLeast"/>
        <w:ind w:firstLine="640"/>
        <w:jc w:val="left"/>
        <w:rPr>
          <w:rFonts w:ascii="黑体" w:hAnsi="黑体" w:eastAsia="黑体" w:cs="黑体"/>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二、关于收入决算情况说明</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2019年度收入合计712.8万元，其中：财政拨款收入712.8万元，占100%；上级补助收入0万元，占0%；事业收入0万元，占0%；经营收入0万元，占0%；附属单位上缴收入0万元，占0%；其他收入0万元，占0%。</w:t>
      </w:r>
    </w:p>
    <w:p>
      <w:pPr>
        <w:widowControl/>
        <w:shd w:val="clear" w:color="auto" w:fill="FFFFFF"/>
        <w:spacing w:line="270" w:lineRule="atLeast"/>
        <w:ind w:firstLine="640"/>
        <w:jc w:val="left"/>
        <w:rPr>
          <w:rFonts w:ascii="黑体" w:hAnsi="黑体" w:eastAsia="黑体" w:cs="黑体"/>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三、关于支出决算情况说明</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2019年度支出合计712.8万元，其中：基本支出554.82万元，占77.8%；项目支出157.98万元，占22.2%；上缴上级支出0万元，占0%；经营支出0万元，占0%；对附属单位上缴支出0万元，占0%。</w:t>
      </w:r>
    </w:p>
    <w:p>
      <w:pPr>
        <w:widowControl/>
        <w:shd w:val="clear" w:color="auto" w:fill="FFFFFF"/>
        <w:spacing w:line="270" w:lineRule="atLeast"/>
        <w:ind w:firstLine="640"/>
        <w:jc w:val="left"/>
        <w:rPr>
          <w:rFonts w:ascii="黑体" w:hAnsi="黑体" w:eastAsia="黑体" w:cs="黑体"/>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四、关于财政拨款收入支出决算总体情况说明</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2019年财政拨款收、支总计均为712.8万元。与2018年相比，财政拨款收、支总计各2595.02万元，减少了364%。主要原因是减少了增收补偿方面的资金投入。</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p>
    <w:p>
      <w:pPr>
        <w:widowControl/>
        <w:shd w:val="clear" w:color="auto" w:fill="FFFFFF"/>
        <w:spacing w:line="560" w:lineRule="atLeast"/>
        <w:ind w:firstLine="672"/>
        <w:jc w:val="left"/>
        <w:rPr>
          <w:rFonts w:ascii="宋体" w:hAnsi="宋体" w:eastAsia="宋体" w:cs="宋体"/>
          <w:color w:val="000000" w:themeColor="text1"/>
          <w:sz w:val="18"/>
          <w:szCs w:val="18"/>
        </w:rPr>
      </w:pPr>
    </w:p>
    <w:p>
      <w:pPr>
        <w:widowControl/>
        <w:shd w:val="clear" w:color="auto" w:fill="FFFFFF"/>
        <w:spacing w:line="270" w:lineRule="atLeast"/>
        <w:ind w:firstLine="640"/>
        <w:jc w:val="left"/>
        <w:rPr>
          <w:rFonts w:ascii="黑体" w:hAnsi="黑体" w:eastAsia="黑体" w:cs="黑体"/>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五、关于一般公共预算财政拨款支出决算情况说明</w:t>
      </w:r>
    </w:p>
    <w:p>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2019年一般公共预算财政拨款支出712.8万元，占支出合计的100%。与2018年相比，一般公共预算财政拨款支出2595.02万元，减少了364%。主要原因是减少了增收补偿方面的资金投入。</w:t>
      </w:r>
    </w:p>
    <w:p>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度一般公共预算财政拨款支出712.8万元，主要用于以下方面：一般公共服务（类）支出0万元，占0%；外交（类）支出0万元，占0%；国防（类）支出0万元，占0%；公共安全（类）支出0万元，占0%；教育（类）支出533.62万元，占74.8%；科学技术（类）支出0万元，占0%；文化体育与传媒（类）支出138.5万元，占19.4%；社会保障和就业（类）支出9.46万元，占1.33%；医疗卫生和计划生育（类）支出3.28万元，占0.46%；节能环保（类）支出0万元，占0%；城乡社区（类）支出51.54万元，占4.53%；农林水（类）支出27.56万元，占3.87%；交通运输（类）支出0万元，占0%；资源勘探信息（类）支出0万元，占0%；商业服务业（类）支出0.38万元，占0.05%；金融（类）支出0万元，占0%；援助其他地区（类）支出0万元，占0%；国土海洋气象（类）支出0万元，占0%；住房保障（类）支出0万元，占0%；粮油物资储备（类）支出0万元，占0%；其他（类）支出0万元，占0%；债务还本（类）支出0万元，占0%；债务付息（类）支出0万元，占0%。</w:t>
      </w:r>
    </w:p>
    <w:p>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2019年度一般公共预算财政拨款支出年初预算为365.18万元，支出决算为712.8万元，超出年初预算的195%。决算数与年初预算数存在差异的主要原因：一是增加了旅游基础设施建设方面的投入。其中：</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宋体" w:eastAsia="仿宋_GB2312" w:cs="仿宋_GB2312"/>
          <w:b/>
          <w:bCs/>
          <w:color w:val="000000" w:themeColor="text1"/>
          <w:kern w:val="0"/>
          <w:sz w:val="32"/>
          <w:szCs w:val="32"/>
          <w:shd w:val="clear" w:color="auto" w:fill="FFFFFF"/>
        </w:rPr>
        <w:t>1.</w:t>
      </w:r>
      <w:r>
        <w:rPr>
          <w:rFonts w:hint="eastAsia" w:ascii="仿宋_GB2312" w:hAnsi="仿宋_GB2312" w:eastAsia="仿宋_GB2312" w:cs="仿宋_GB2312"/>
          <w:b/>
          <w:bCs/>
          <w:sz w:val="32"/>
          <w:szCs w:val="32"/>
        </w:rPr>
        <w:t>教育支出（类）普通教育（款）小学教育（项）。</w:t>
      </w:r>
      <w:r>
        <w:rPr>
          <w:rFonts w:hint="eastAsia" w:ascii="仿宋_GB2312" w:hAnsi="仿宋_GB2312" w:eastAsia="仿宋_GB2312" w:cs="仿宋_GB2312"/>
          <w:sz w:val="32"/>
          <w:szCs w:val="32"/>
        </w:rPr>
        <w:t>支出决算为</w:t>
      </w:r>
      <w:r>
        <w:rPr>
          <w:rFonts w:hint="eastAsia" w:ascii="仿宋_GB2312" w:hAnsi="仿宋_GB2312" w:eastAsia="仿宋_GB2312" w:cs="仿宋_GB2312"/>
          <w:sz w:val="32"/>
          <w:szCs w:val="32"/>
          <w:lang w:val="en-US" w:eastAsia="zh-CN"/>
        </w:rPr>
        <w:t>533.62</w:t>
      </w:r>
      <w:r>
        <w:rPr>
          <w:rFonts w:hint="eastAsia" w:ascii="仿宋_GB2312" w:hAnsi="仿宋_GB2312" w:eastAsia="仿宋_GB2312" w:cs="仿宋_GB2312"/>
          <w:sz w:val="32"/>
          <w:szCs w:val="32"/>
        </w:rPr>
        <w:t>万元，决算数与年初预算数存在差异的主要原因是追加预算。</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宋体" w:eastAsia="仿宋_GB2312" w:cs="仿宋_GB2312"/>
          <w:b/>
          <w:bCs/>
          <w:color w:val="000000" w:themeColor="text1"/>
          <w:kern w:val="0"/>
          <w:sz w:val="32"/>
          <w:szCs w:val="32"/>
          <w:shd w:val="clear" w:color="auto" w:fill="FFFFFF"/>
        </w:rPr>
        <w:t>2.</w:t>
      </w:r>
      <w:r>
        <w:rPr>
          <w:rFonts w:hint="eastAsia" w:ascii="仿宋_GB2312" w:hAnsi="仿宋_GB2312" w:eastAsia="仿宋_GB2312" w:cs="仿宋_GB2312"/>
          <w:b/>
          <w:bCs/>
          <w:sz w:val="32"/>
          <w:szCs w:val="32"/>
        </w:rPr>
        <w:t>文化旅游体育与传媒支出（类）</w:t>
      </w:r>
      <w:r>
        <w:rPr>
          <w:rFonts w:hint="eastAsia" w:ascii="仿宋_GB2312" w:hAnsi="仿宋_GB2312" w:eastAsia="仿宋_GB2312" w:cs="仿宋_GB2312"/>
          <w:b/>
          <w:bCs/>
          <w:sz w:val="32"/>
          <w:szCs w:val="32"/>
          <w:lang w:eastAsia="zh-CN"/>
        </w:rPr>
        <w:t>文化和旅游</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eastAsia="zh-CN"/>
        </w:rPr>
        <w:t>旅游行业业务管理</w:t>
      </w:r>
      <w:r>
        <w:rPr>
          <w:rFonts w:hint="eastAsia" w:ascii="仿宋_GB2312" w:hAnsi="仿宋_GB2312" w:eastAsia="仿宋_GB2312" w:cs="仿宋_GB2312"/>
          <w:b/>
          <w:bCs/>
          <w:sz w:val="32"/>
          <w:szCs w:val="32"/>
        </w:rPr>
        <w:t>（项）。</w:t>
      </w:r>
      <w:r>
        <w:rPr>
          <w:rFonts w:hint="eastAsia" w:ascii="仿宋_GB2312" w:hAnsi="仿宋_GB2312" w:eastAsia="仿宋_GB2312" w:cs="仿宋_GB2312"/>
          <w:sz w:val="32"/>
          <w:szCs w:val="32"/>
        </w:rPr>
        <w:t>支出决算为</w:t>
      </w:r>
      <w:r>
        <w:rPr>
          <w:rFonts w:hint="eastAsia" w:ascii="仿宋_GB2312" w:hAnsi="仿宋_GB2312" w:eastAsia="仿宋_GB2312" w:cs="仿宋_GB2312"/>
          <w:sz w:val="32"/>
          <w:szCs w:val="32"/>
          <w:lang w:val="en-US" w:eastAsia="zh-CN"/>
        </w:rPr>
        <w:t>138.5</w:t>
      </w:r>
      <w:r>
        <w:rPr>
          <w:rFonts w:hint="eastAsia" w:ascii="仿宋_GB2312" w:hAnsi="仿宋_GB2312" w:eastAsia="仿宋_GB2312" w:cs="仿宋_GB2312"/>
          <w:sz w:val="32"/>
          <w:szCs w:val="32"/>
        </w:rPr>
        <w:t>万元。决算数与年初预算数存在差异的主要原因是调整预算。</w:t>
      </w:r>
    </w:p>
    <w:p>
      <w:pPr>
        <w:widowControl/>
        <w:shd w:val="clear" w:color="auto" w:fill="FFFFFF"/>
        <w:spacing w:line="270" w:lineRule="atLeast"/>
        <w:ind w:firstLine="640"/>
        <w:jc w:val="left"/>
        <w:rPr>
          <w:rFonts w:hint="eastAsia" w:ascii="仿宋_GB2312" w:hAnsi="仿宋_GB2312" w:eastAsia="仿宋_GB2312" w:cs="仿宋_GB2312"/>
          <w:b/>
          <w:bCs/>
          <w:sz w:val="32"/>
          <w:szCs w:val="32"/>
          <w:lang w:val="en-US" w:eastAsia="zh-CN"/>
        </w:rPr>
      </w:pPr>
      <w:r>
        <w:rPr>
          <w:rFonts w:hint="eastAsia" w:ascii="仿宋_GB2312" w:hAnsi="宋体" w:eastAsia="仿宋_GB2312" w:cs="仿宋_GB2312"/>
          <w:b/>
          <w:bCs/>
          <w:color w:val="000000" w:themeColor="text1"/>
          <w:kern w:val="0"/>
          <w:sz w:val="32"/>
          <w:szCs w:val="32"/>
          <w:shd w:val="clear" w:color="auto" w:fill="FFFFFF"/>
          <w:lang w:val="en-US" w:eastAsia="zh-CN"/>
        </w:rPr>
        <w:t>3.</w:t>
      </w:r>
      <w:r>
        <w:rPr>
          <w:rFonts w:hint="eastAsia" w:ascii="仿宋_GB2312" w:hAnsi="仿宋_GB2312" w:eastAsia="仿宋_GB2312" w:cs="仿宋_GB2312"/>
          <w:b/>
          <w:bCs/>
          <w:sz w:val="32"/>
          <w:szCs w:val="32"/>
        </w:rPr>
        <w:t>社会保障和就业支出(类)行政事业单位离退休(款)机关事业单位基本养老保险缴费支出(项)</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sz w:val="32"/>
          <w:szCs w:val="32"/>
        </w:rPr>
        <w:t>年初预算为</w:t>
      </w:r>
      <w:r>
        <w:rPr>
          <w:rFonts w:hint="eastAsia" w:ascii="仿宋_GB2312" w:hAnsi="仿宋_GB2312" w:eastAsia="仿宋_GB2312" w:cs="仿宋_GB2312"/>
          <w:color w:val="000000"/>
          <w:sz w:val="32"/>
          <w:szCs w:val="32"/>
          <w:lang w:val="en-US" w:eastAsia="zh-CN"/>
        </w:rPr>
        <w:t>12.1</w:t>
      </w:r>
      <w:r>
        <w:rPr>
          <w:rFonts w:hint="eastAsia" w:ascii="仿宋_GB2312" w:hAnsi="仿宋_GB2312" w:eastAsia="仿宋_GB2312" w:cs="仿宋_GB2312"/>
          <w:color w:val="000000"/>
          <w:sz w:val="32"/>
          <w:szCs w:val="32"/>
        </w:rPr>
        <w:t>万元，支出决算为</w:t>
      </w:r>
      <w:r>
        <w:rPr>
          <w:rFonts w:hint="eastAsia" w:ascii="仿宋_GB2312" w:hAnsi="仿宋_GB2312" w:eastAsia="仿宋_GB2312" w:cs="仿宋_GB2312"/>
          <w:color w:val="000000"/>
          <w:sz w:val="32"/>
          <w:szCs w:val="32"/>
          <w:lang w:val="en-US" w:eastAsia="zh-CN"/>
        </w:rPr>
        <w:t>9.46</w:t>
      </w:r>
      <w:r>
        <w:rPr>
          <w:rFonts w:hint="eastAsia" w:ascii="仿宋_GB2312" w:hAnsi="仿宋_GB2312" w:eastAsia="仿宋_GB2312" w:cs="仿宋_GB2312"/>
          <w:color w:val="000000"/>
          <w:sz w:val="32"/>
          <w:szCs w:val="32"/>
        </w:rPr>
        <w:t>万元，完成年初预算的</w:t>
      </w:r>
      <w:r>
        <w:rPr>
          <w:rFonts w:hint="eastAsia" w:ascii="仿宋_GB2312" w:hAnsi="仿宋_GB2312" w:eastAsia="仿宋_GB2312" w:cs="仿宋_GB2312"/>
          <w:color w:val="000000"/>
          <w:sz w:val="32"/>
          <w:szCs w:val="32"/>
          <w:lang w:val="en-US" w:eastAsia="zh-CN"/>
        </w:rPr>
        <w:t>78.18</w:t>
      </w:r>
      <w:r>
        <w:rPr>
          <w:rFonts w:hint="eastAsia" w:ascii="仿宋_GB2312" w:hAnsi="仿宋_GB2312" w:eastAsia="仿宋_GB2312" w:cs="仿宋_GB2312"/>
          <w:color w:val="000000"/>
          <w:sz w:val="32"/>
          <w:szCs w:val="32"/>
        </w:rPr>
        <w:t>%。决算数与年初预算数存在差异的主要原因是人员调离减少。</w:t>
      </w:r>
      <w:r>
        <w:rPr>
          <w:rFonts w:hint="eastAsia" w:ascii="仿宋_GB2312" w:hAnsi="仿宋_GB2312" w:eastAsia="仿宋_GB2312" w:cs="仿宋_GB2312"/>
          <w:color w:val="000000"/>
          <w:sz w:val="32"/>
          <w:szCs w:val="32"/>
          <w:lang w:eastAsia="zh-CN"/>
        </w:rPr>
        <w:t>　</w:t>
      </w:r>
      <w:r>
        <w:rPr>
          <w:rFonts w:hint="eastAsia" w:ascii="仿宋_GB2312" w:hAnsi="宋体" w:eastAsia="仿宋_GB2312" w:cs="仿宋_GB2312"/>
          <w:b/>
          <w:bCs/>
          <w:color w:val="000000" w:themeColor="text1"/>
          <w:kern w:val="0"/>
          <w:sz w:val="32"/>
          <w:szCs w:val="32"/>
          <w:shd w:val="clear" w:color="auto" w:fill="FFFFFF"/>
          <w:lang w:val="en-US" w:eastAsia="zh-CN"/>
        </w:rPr>
        <w:t>　　　　　　　　　</w:t>
      </w:r>
      <w:r>
        <w:rPr>
          <w:rFonts w:hint="eastAsia" w:ascii="仿宋_GB2312" w:hAnsi="仿宋_GB2312" w:eastAsia="仿宋_GB2312" w:cs="仿宋_GB2312"/>
          <w:b/>
          <w:bCs/>
          <w:sz w:val="32"/>
          <w:szCs w:val="32"/>
          <w:lang w:eastAsia="zh-CN"/>
        </w:rPr>
        <w:t>　</w:t>
      </w:r>
      <w:r>
        <w:rPr>
          <w:rFonts w:hint="eastAsia" w:ascii="仿宋_GB2312" w:hAnsi="仿宋_GB2312" w:eastAsia="仿宋_GB2312" w:cs="仿宋_GB2312"/>
          <w:b/>
          <w:bCs/>
          <w:sz w:val="32"/>
          <w:szCs w:val="32"/>
          <w:lang w:val="en-US" w:eastAsia="zh-CN"/>
        </w:rPr>
        <w:t xml:space="preserve">                             </w:t>
      </w:r>
    </w:p>
    <w:p>
      <w:pPr>
        <w:widowControl/>
        <w:shd w:val="clear" w:color="auto" w:fill="FFFFFF"/>
        <w:spacing w:line="270" w:lineRule="atLeast"/>
        <w:ind w:firstLine="640"/>
        <w:jc w:val="left"/>
        <w:rPr>
          <w:rFonts w:hint="eastAsia" w:ascii="仿宋_GB2312" w:hAnsi="宋体" w:eastAsia="仿宋_GB2312" w:cs="仿宋_GB2312"/>
          <w:color w:val="000000" w:themeColor="text1"/>
          <w:kern w:val="0"/>
          <w:sz w:val="32"/>
          <w:szCs w:val="32"/>
          <w:shd w:val="clear" w:color="auto" w:fill="FFFFFF"/>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社会保障和就业支出（类）其他社会保障和就业支出（款）其他社会保障和就业支出（项）。</w:t>
      </w:r>
      <w:r>
        <w:rPr>
          <w:rFonts w:hint="eastAsia" w:ascii="仿宋_GB2312" w:hAnsi="宋体" w:eastAsia="仿宋_GB2312" w:cs="仿宋_GB2312"/>
          <w:color w:val="000000" w:themeColor="text1"/>
          <w:kern w:val="0"/>
          <w:sz w:val="32"/>
          <w:szCs w:val="32"/>
          <w:shd w:val="clear" w:color="auto" w:fill="FFFFFF"/>
        </w:rPr>
        <w:t>年初预算为</w:t>
      </w:r>
      <w:r>
        <w:rPr>
          <w:rFonts w:hint="eastAsia" w:ascii="仿宋_GB2312" w:hAnsi="宋体" w:eastAsia="仿宋_GB2312" w:cs="仿宋_GB2312"/>
          <w:color w:val="000000" w:themeColor="text1"/>
          <w:kern w:val="0"/>
          <w:sz w:val="32"/>
          <w:szCs w:val="32"/>
          <w:shd w:val="clear" w:color="auto" w:fill="FFFFFF"/>
          <w:lang w:val="en-US" w:eastAsia="zh-CN"/>
        </w:rPr>
        <w:t>0.73</w:t>
      </w:r>
      <w:r>
        <w:rPr>
          <w:rFonts w:hint="eastAsia" w:ascii="仿宋_GB2312" w:hAnsi="宋体" w:eastAsia="仿宋_GB2312" w:cs="仿宋_GB2312"/>
          <w:color w:val="000000" w:themeColor="text1"/>
          <w:kern w:val="0"/>
          <w:sz w:val="32"/>
          <w:szCs w:val="32"/>
          <w:shd w:val="clear" w:color="auto" w:fill="FFFFFF"/>
        </w:rPr>
        <w:t>万元，支出决算为</w:t>
      </w:r>
      <w:r>
        <w:rPr>
          <w:rFonts w:hint="eastAsia" w:ascii="仿宋_GB2312" w:hAnsi="宋体" w:eastAsia="仿宋_GB2312" w:cs="仿宋_GB2312"/>
          <w:color w:val="000000" w:themeColor="text1"/>
          <w:kern w:val="0"/>
          <w:sz w:val="32"/>
          <w:szCs w:val="32"/>
          <w:shd w:val="clear" w:color="auto" w:fill="FFFFFF"/>
          <w:lang w:val="en-US" w:eastAsia="zh-CN"/>
        </w:rPr>
        <w:t>0.38</w:t>
      </w:r>
      <w:r>
        <w:rPr>
          <w:rFonts w:hint="eastAsia" w:ascii="仿宋_GB2312" w:hAnsi="宋体" w:eastAsia="仿宋_GB2312" w:cs="仿宋_GB2312"/>
          <w:color w:val="000000" w:themeColor="text1"/>
          <w:kern w:val="0"/>
          <w:sz w:val="32"/>
          <w:szCs w:val="32"/>
          <w:shd w:val="clear" w:color="auto" w:fill="FFFFFF"/>
        </w:rPr>
        <w:t>万元，</w:t>
      </w:r>
      <w:r>
        <w:rPr>
          <w:rFonts w:hint="eastAsia" w:ascii="仿宋_GB2312" w:hAnsi="仿宋_GB2312" w:eastAsia="仿宋_GB2312" w:cs="仿宋_GB2312"/>
          <w:color w:val="000000"/>
          <w:sz w:val="32"/>
          <w:szCs w:val="32"/>
        </w:rPr>
        <w:t>完成年初预算的</w:t>
      </w:r>
      <w:r>
        <w:rPr>
          <w:rFonts w:hint="eastAsia" w:ascii="仿宋_GB2312" w:hAnsi="仿宋_GB2312" w:eastAsia="仿宋_GB2312" w:cs="仿宋_GB2312"/>
          <w:color w:val="000000"/>
          <w:sz w:val="32"/>
          <w:szCs w:val="32"/>
          <w:lang w:val="en-US" w:eastAsia="zh-CN"/>
        </w:rPr>
        <w:t>52.05</w:t>
      </w:r>
      <w:r>
        <w:rPr>
          <w:rFonts w:hint="eastAsia" w:ascii="仿宋_GB2312" w:hAnsi="仿宋_GB2312" w:eastAsia="仿宋_GB2312" w:cs="仿宋_GB2312"/>
          <w:color w:val="000000"/>
          <w:sz w:val="32"/>
          <w:szCs w:val="32"/>
        </w:rPr>
        <w:t>%。</w:t>
      </w:r>
      <w:r>
        <w:rPr>
          <w:rFonts w:hint="eastAsia" w:ascii="仿宋_GB2312" w:hAnsi="宋体" w:eastAsia="仿宋_GB2312" w:cs="仿宋_GB2312"/>
          <w:color w:val="000000" w:themeColor="text1"/>
          <w:kern w:val="0"/>
          <w:sz w:val="32"/>
          <w:szCs w:val="32"/>
          <w:shd w:val="clear" w:color="auto" w:fill="FFFFFF"/>
        </w:rPr>
        <w:t>决算数与年初预算数存在差异的主要原因</w:t>
      </w:r>
      <w:r>
        <w:rPr>
          <w:rFonts w:hint="eastAsia" w:ascii="仿宋_GB2312" w:hAnsi="仿宋_GB2312" w:eastAsia="仿宋_GB2312" w:cs="仿宋_GB2312"/>
          <w:color w:val="000000"/>
          <w:sz w:val="32"/>
          <w:szCs w:val="32"/>
        </w:rPr>
        <w:t>人员调离减少</w:t>
      </w:r>
      <w:r>
        <w:rPr>
          <w:rFonts w:hint="eastAsia" w:ascii="仿宋_GB2312" w:hAnsi="宋体" w:eastAsia="仿宋_GB2312" w:cs="仿宋_GB2312"/>
          <w:color w:val="000000" w:themeColor="text1"/>
          <w:kern w:val="0"/>
          <w:sz w:val="32"/>
          <w:szCs w:val="32"/>
          <w:shd w:val="clear" w:color="auto" w:fill="FFFFFF"/>
        </w:rPr>
        <w:t>。</w:t>
      </w:r>
    </w:p>
    <w:p>
      <w:pPr>
        <w:widowControl/>
        <w:spacing w:line="590" w:lineRule="exact"/>
        <w:ind w:firstLine="320" w:firstLineChars="100"/>
        <w:rPr>
          <w:rFonts w:hint="eastAsia" w:ascii="仿宋_GB2312" w:hAnsi="仿宋_GB2312" w:eastAsia="仿宋_GB2312" w:cs="仿宋_GB2312"/>
          <w:sz w:val="32"/>
          <w:szCs w:val="32"/>
        </w:rPr>
      </w:pPr>
      <w:r>
        <w:rPr>
          <w:rFonts w:hint="eastAsia" w:ascii="仿宋_GB2312" w:hAnsi="宋体" w:eastAsia="仿宋_GB2312" w:cs="仿宋_GB2312"/>
          <w:color w:val="000000" w:themeColor="text1"/>
          <w:kern w:val="0"/>
          <w:sz w:val="32"/>
          <w:szCs w:val="32"/>
          <w:shd w:val="clear" w:color="auto" w:fill="FFFFFF"/>
          <w:lang w:val="en-US" w:eastAsia="zh-CN"/>
        </w:rPr>
        <w:t>　5.</w:t>
      </w:r>
      <w:r>
        <w:rPr>
          <w:rFonts w:hint="eastAsia" w:ascii="仿宋_GB2312" w:hAnsi="仿宋_GB2312" w:eastAsia="仿宋_GB2312" w:cs="仿宋_GB2312"/>
          <w:b/>
          <w:bCs/>
          <w:sz w:val="32"/>
          <w:szCs w:val="32"/>
        </w:rPr>
        <w:t>卫生</w:t>
      </w:r>
      <w:r>
        <w:rPr>
          <w:rFonts w:hint="eastAsia" w:ascii="仿宋_GB2312" w:hAnsi="仿宋_GB2312" w:eastAsia="仿宋_GB2312" w:cs="仿宋_GB2312"/>
          <w:b/>
          <w:bCs/>
          <w:sz w:val="32"/>
          <w:szCs w:val="32"/>
          <w:lang w:eastAsia="zh-CN"/>
        </w:rPr>
        <w:t>健康支出</w:t>
      </w:r>
      <w:r>
        <w:rPr>
          <w:rFonts w:hint="eastAsia" w:ascii="仿宋_GB2312" w:hAnsi="仿宋_GB2312" w:eastAsia="仿宋_GB2312" w:cs="仿宋_GB2312"/>
          <w:b/>
          <w:bCs/>
          <w:sz w:val="32"/>
          <w:szCs w:val="32"/>
        </w:rPr>
        <w:t>(类)行政事业单位医疗(款)事业单位基本医疗支出(项)</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sz w:val="32"/>
          <w:szCs w:val="32"/>
        </w:rPr>
        <w:t>年初预算为</w:t>
      </w:r>
      <w:r>
        <w:rPr>
          <w:rFonts w:hint="eastAsia" w:ascii="仿宋_GB2312" w:hAnsi="仿宋_GB2312" w:eastAsia="仿宋_GB2312" w:cs="仿宋_GB2312"/>
          <w:color w:val="000000"/>
          <w:sz w:val="32"/>
          <w:szCs w:val="32"/>
          <w:lang w:val="en-US" w:eastAsia="zh-CN"/>
        </w:rPr>
        <w:t>3.98</w:t>
      </w:r>
      <w:r>
        <w:rPr>
          <w:rFonts w:hint="eastAsia" w:ascii="仿宋_GB2312" w:hAnsi="仿宋_GB2312" w:eastAsia="仿宋_GB2312" w:cs="仿宋_GB2312"/>
          <w:color w:val="000000"/>
          <w:sz w:val="32"/>
          <w:szCs w:val="32"/>
        </w:rPr>
        <w:t>万元，支出决算为</w:t>
      </w:r>
      <w:r>
        <w:rPr>
          <w:rFonts w:hint="eastAsia" w:ascii="仿宋_GB2312" w:hAnsi="仿宋_GB2312" w:eastAsia="仿宋_GB2312" w:cs="仿宋_GB2312"/>
          <w:color w:val="000000"/>
          <w:sz w:val="32"/>
          <w:szCs w:val="32"/>
          <w:lang w:val="en-US" w:eastAsia="zh-CN"/>
        </w:rPr>
        <w:t>3.28</w:t>
      </w:r>
      <w:r>
        <w:rPr>
          <w:rFonts w:hint="eastAsia" w:ascii="仿宋_GB2312" w:hAnsi="仿宋_GB2312" w:eastAsia="仿宋_GB2312" w:cs="仿宋_GB2312"/>
          <w:color w:val="000000"/>
          <w:sz w:val="32"/>
          <w:szCs w:val="32"/>
        </w:rPr>
        <w:t>万元，完成年初预算的</w:t>
      </w:r>
      <w:r>
        <w:rPr>
          <w:rFonts w:hint="eastAsia" w:ascii="仿宋_GB2312" w:hAnsi="仿宋_GB2312" w:eastAsia="仿宋_GB2312" w:cs="仿宋_GB2312"/>
          <w:color w:val="000000"/>
          <w:sz w:val="32"/>
          <w:szCs w:val="32"/>
          <w:lang w:val="en-US" w:eastAsia="zh-CN"/>
        </w:rPr>
        <w:t>82.41</w:t>
      </w:r>
      <w:r>
        <w:rPr>
          <w:rFonts w:hint="eastAsia" w:ascii="仿宋_GB2312" w:hAnsi="仿宋_GB2312" w:eastAsia="仿宋_GB2312" w:cs="仿宋_GB2312"/>
          <w:color w:val="000000"/>
          <w:sz w:val="32"/>
          <w:szCs w:val="32"/>
        </w:rPr>
        <w:t>%。决算数与年</w:t>
      </w:r>
      <w:r>
        <w:rPr>
          <w:rFonts w:hint="eastAsia" w:ascii="仿宋_GB2312" w:hAnsi="仿宋_GB2312" w:eastAsia="仿宋_GB2312" w:cs="仿宋_GB2312"/>
          <w:sz w:val="32"/>
          <w:szCs w:val="32"/>
        </w:rPr>
        <w:t xml:space="preserve">初预算数存在差异的主要原因是人员减少。 </w:t>
      </w:r>
    </w:p>
    <w:p>
      <w:pPr>
        <w:widowControl/>
        <w:spacing w:line="590" w:lineRule="exact"/>
        <w:ind w:firstLine="640" w:firstLineChars="200"/>
        <w:rPr>
          <w:rFonts w:hint="default" w:ascii="仿宋_GB2312" w:hAnsi="宋体" w:eastAsia="仿宋_GB2312" w:cs="仿宋_GB2312"/>
          <w:color w:val="000000" w:themeColor="text1"/>
          <w:kern w:val="0"/>
          <w:sz w:val="32"/>
          <w:szCs w:val="32"/>
          <w:shd w:val="clear" w:color="auto" w:fill="FFFFFF"/>
          <w:lang w:val="en-US"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b/>
          <w:bCs/>
          <w:sz w:val="32"/>
          <w:szCs w:val="32"/>
        </w:rPr>
        <w:t>农林水支出(类)扶贫(款)其他扶贫支出(项)</w:t>
      </w:r>
      <w:r>
        <w:rPr>
          <w:rFonts w:hint="eastAsia" w:ascii="仿宋_GB2312" w:hAnsi="仿宋_GB2312" w:eastAsia="仿宋_GB2312" w:cs="仿宋_GB2312"/>
          <w:sz w:val="32"/>
          <w:szCs w:val="32"/>
        </w:rPr>
        <w:t>。年初预算为0万元，支出决算为</w:t>
      </w:r>
      <w:r>
        <w:rPr>
          <w:rFonts w:hint="eastAsia" w:ascii="仿宋_GB2312" w:hAnsi="仿宋_GB2312" w:eastAsia="仿宋_GB2312" w:cs="仿宋_GB2312"/>
          <w:sz w:val="32"/>
          <w:szCs w:val="32"/>
          <w:lang w:val="en-US" w:eastAsia="zh-CN"/>
        </w:rPr>
        <w:t>27.56</w:t>
      </w:r>
      <w:r>
        <w:rPr>
          <w:rFonts w:hint="eastAsia" w:ascii="仿宋_GB2312" w:hAnsi="仿宋_GB2312" w:eastAsia="仿宋_GB2312" w:cs="仿宋_GB2312"/>
          <w:sz w:val="32"/>
          <w:szCs w:val="32"/>
        </w:rPr>
        <w:t>万元，完成年初预算的100%。决算数与年初预算数存在差异的主要原因是扶贫工作开展增加支出。</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六、关于一般公共预算财政拨款基本支出决算情况说明</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2019年一般公共预算财政</w:t>
      </w:r>
      <w:r>
        <w:rPr>
          <w:rFonts w:hint="eastAsia" w:ascii="仿宋_GB2312" w:hAnsi="仿宋_GB2312" w:eastAsia="仿宋_GB2312" w:cs="仿宋_GB2312"/>
          <w:color w:val="000000" w:themeColor="text1"/>
          <w:kern w:val="0"/>
          <w:sz w:val="32"/>
          <w:szCs w:val="32"/>
          <w:shd w:val="clear" w:color="auto" w:fill="FFFFFF"/>
        </w:rPr>
        <w:t>拨款基本支出</w:t>
      </w:r>
      <w:r>
        <w:rPr>
          <w:rFonts w:hint="eastAsia" w:ascii="仿宋_GB2312" w:hAnsi="宋体" w:eastAsia="仿宋_GB2312" w:cs="仿宋_GB2312"/>
          <w:color w:val="000000" w:themeColor="text1"/>
          <w:kern w:val="0"/>
          <w:sz w:val="32"/>
          <w:szCs w:val="32"/>
          <w:shd w:val="clear" w:color="auto" w:fill="FFFFFF"/>
          <w:lang w:val="en-US" w:eastAsia="zh-CN"/>
        </w:rPr>
        <w:t>554.82</w:t>
      </w:r>
      <w:r>
        <w:rPr>
          <w:rFonts w:hint="eastAsia" w:ascii="仿宋_GB2312" w:hAnsi="宋体" w:eastAsia="仿宋_GB2312" w:cs="仿宋_GB2312"/>
          <w:color w:val="000000" w:themeColor="text1"/>
          <w:kern w:val="0"/>
          <w:sz w:val="32"/>
          <w:szCs w:val="32"/>
          <w:shd w:val="clear" w:color="auto" w:fill="FFFFFF"/>
        </w:rPr>
        <w:t>万元。与2018年530.76万元相比</w:t>
      </w:r>
      <w:r>
        <w:rPr>
          <w:rFonts w:hint="eastAsia" w:ascii="仿宋_GB2312" w:hAnsi="宋体" w:eastAsia="仿宋_GB2312" w:cs="仿宋_GB2312"/>
          <w:color w:val="000000" w:themeColor="text1"/>
          <w:kern w:val="0"/>
          <w:sz w:val="32"/>
          <w:szCs w:val="32"/>
          <w:shd w:val="clear" w:color="auto" w:fill="FFFFFF"/>
          <w:lang w:eastAsia="zh-CN"/>
        </w:rPr>
        <w:t>，增幅</w:t>
      </w:r>
      <w:r>
        <w:rPr>
          <w:rFonts w:hint="eastAsia" w:ascii="仿宋_GB2312" w:hAnsi="宋体" w:eastAsia="仿宋_GB2312" w:cs="仿宋_GB2312"/>
          <w:color w:val="000000" w:themeColor="text1"/>
          <w:kern w:val="0"/>
          <w:sz w:val="32"/>
          <w:szCs w:val="32"/>
          <w:shd w:val="clear" w:color="auto" w:fill="FFFFFF"/>
          <w:lang w:val="en-US" w:eastAsia="zh-CN"/>
        </w:rPr>
        <w:t>4.53</w:t>
      </w:r>
      <w:r>
        <w:rPr>
          <w:rFonts w:hint="eastAsia" w:ascii="仿宋_GB2312" w:hAnsi="宋体" w:eastAsia="仿宋_GB2312" w:cs="仿宋_GB2312"/>
          <w:color w:val="000000" w:themeColor="text1"/>
          <w:kern w:val="0"/>
          <w:sz w:val="32"/>
          <w:szCs w:val="32"/>
          <w:shd w:val="clear" w:color="auto" w:fill="FFFFFF"/>
        </w:rPr>
        <w:t>%。变动的主要原因是增加了旅游建设方面管理。其中：人员经费</w:t>
      </w:r>
      <w:r>
        <w:rPr>
          <w:rFonts w:hint="eastAsia" w:ascii="仿宋_GB2312" w:hAnsi="宋体" w:eastAsia="仿宋_GB2312" w:cs="仿宋_GB2312"/>
          <w:color w:val="000000" w:themeColor="text1"/>
          <w:kern w:val="0"/>
          <w:sz w:val="32"/>
          <w:szCs w:val="32"/>
          <w:shd w:val="clear" w:color="auto" w:fill="FFFFFF"/>
          <w:lang w:val="en-US" w:eastAsia="zh-CN"/>
        </w:rPr>
        <w:t>141.46</w:t>
      </w:r>
      <w:r>
        <w:rPr>
          <w:rFonts w:hint="eastAsia" w:ascii="仿宋_GB2312" w:hAnsi="宋体" w:eastAsia="仿宋_GB2312" w:cs="仿宋_GB2312"/>
          <w:color w:val="000000" w:themeColor="text1"/>
          <w:kern w:val="0"/>
          <w:sz w:val="32"/>
          <w:szCs w:val="32"/>
          <w:shd w:val="clear" w:color="auto" w:fill="FFFFFF"/>
        </w:rPr>
        <w:t>万元，主要包括：基本工资、津贴补助、伙食补助费、绩效工资；公用经费413.36万元，主要包括：办公费、租赁费、劳务费、其他交通费、公务用车运行维护费、其他资本性支出。</w:t>
      </w:r>
    </w:p>
    <w:p>
      <w:pPr>
        <w:widowControl/>
        <w:shd w:val="clear" w:color="auto" w:fill="FFFFFF"/>
        <w:spacing w:line="270" w:lineRule="atLeast"/>
        <w:ind w:firstLine="640"/>
        <w:jc w:val="left"/>
        <w:rPr>
          <w:rFonts w:ascii="黑体" w:hAnsi="黑体" w:eastAsia="黑体" w:cs="黑体"/>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七、关于一般公共预算财政拨款“三公”经费支出决算情况说明</w:t>
      </w:r>
    </w:p>
    <w:p>
      <w:pPr>
        <w:widowControl/>
        <w:shd w:val="clear" w:color="auto" w:fill="FFFFFF"/>
        <w:spacing w:line="270" w:lineRule="atLeast"/>
        <w:ind w:firstLine="640"/>
        <w:jc w:val="left"/>
        <w:rPr>
          <w:rFonts w:ascii="仿宋_GB2312" w:hAnsi="仿宋_GB2312"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（一）“</w:t>
      </w:r>
      <w:r>
        <w:rPr>
          <w:rFonts w:hint="eastAsia" w:ascii="仿宋_GB2312" w:hAnsi="仿宋_GB2312" w:eastAsia="仿宋_GB2312" w:cs="仿宋_GB2312"/>
          <w:color w:val="000000" w:themeColor="text1"/>
          <w:kern w:val="0"/>
          <w:sz w:val="32"/>
          <w:szCs w:val="32"/>
          <w:shd w:val="clear" w:color="auto" w:fill="FFFFFF"/>
        </w:rPr>
        <w:t>三公”经费财政拨款支出决算总体情况说明</w:t>
      </w:r>
    </w:p>
    <w:p>
      <w:pPr>
        <w:widowControl/>
        <w:shd w:val="clear" w:color="auto" w:fill="FFFFFF"/>
        <w:spacing w:line="270" w:lineRule="atLeast"/>
        <w:ind w:firstLine="640"/>
        <w:jc w:val="left"/>
        <w:rPr>
          <w:rFonts w:ascii="仿宋_GB2312" w:hAnsi="仿宋_GB2312"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2019年度“</w:t>
      </w:r>
      <w:r>
        <w:rPr>
          <w:rFonts w:hint="eastAsia" w:ascii="仿宋_GB2312" w:hAnsi="仿宋_GB2312" w:eastAsia="仿宋_GB2312" w:cs="仿宋_GB2312"/>
          <w:color w:val="000000" w:themeColor="text1"/>
          <w:kern w:val="0"/>
          <w:sz w:val="32"/>
          <w:szCs w:val="32"/>
          <w:shd w:val="clear" w:color="auto" w:fill="FFFFFF"/>
        </w:rPr>
        <w:t>三公”经费财政拨款支出预算为0万元，支出决算为0万元，完成预算的0%。主要原因是严格执行中央“八项规定”，严格控制公务接待，严格控制公务用车。</w:t>
      </w:r>
    </w:p>
    <w:p>
      <w:pPr>
        <w:widowControl/>
        <w:shd w:val="clear" w:color="auto" w:fill="FFFFFF"/>
        <w:spacing w:line="270" w:lineRule="atLeast"/>
        <w:ind w:firstLine="640"/>
        <w:jc w:val="left"/>
        <w:rPr>
          <w:rFonts w:ascii="仿宋_GB2312" w:hAnsi="仿宋_GB2312"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（二）“</w:t>
      </w:r>
      <w:r>
        <w:rPr>
          <w:rFonts w:hint="eastAsia" w:ascii="仿宋_GB2312" w:hAnsi="仿宋_GB2312" w:eastAsia="仿宋_GB2312" w:cs="仿宋_GB2312"/>
          <w:color w:val="000000" w:themeColor="text1"/>
          <w:kern w:val="0"/>
          <w:sz w:val="32"/>
          <w:szCs w:val="32"/>
          <w:shd w:val="clear" w:color="auto" w:fill="FFFFFF"/>
        </w:rPr>
        <w:t>三公”经费财政拨款支出决算具体情况说明</w:t>
      </w:r>
    </w:p>
    <w:p>
      <w:pPr>
        <w:widowControl/>
        <w:shd w:val="clear" w:color="auto" w:fill="FFFFFF"/>
        <w:ind w:firstLine="640" w:firstLineChars="200"/>
        <w:jc w:val="left"/>
        <w:rPr>
          <w:rFonts w:ascii="仿宋_GB2312" w:hAnsi="仿宋_GB2312"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2019年度“</w:t>
      </w:r>
      <w:r>
        <w:rPr>
          <w:rFonts w:hint="eastAsia" w:ascii="仿宋_GB2312" w:hAnsi="仿宋_GB2312" w:eastAsia="仿宋_GB2312" w:cs="仿宋_GB2312"/>
          <w:color w:val="000000" w:themeColor="text1"/>
          <w:kern w:val="0"/>
          <w:sz w:val="32"/>
          <w:szCs w:val="32"/>
          <w:shd w:val="clear" w:color="auto" w:fill="FFFFFF"/>
        </w:rPr>
        <w:t>三公”经费财政拨款支出预算中，因公出国（境）费支出决算0万元，占0%，完成预算的0%。公务用车购置及运行费支出决算0万元，占0%，完成预算的0%。公务接待费支出决算0万元，占0%，完成预算的0%。具体情况如下：</w:t>
      </w:r>
    </w:p>
    <w:p>
      <w:pPr>
        <w:widowControl/>
        <w:numPr>
          <w:ilvl w:val="0"/>
          <w:numId w:val="1"/>
        </w:numPr>
        <w:shd w:val="clear" w:color="auto" w:fill="FFFFFF"/>
        <w:tabs>
          <w:tab w:val="clear" w:pos="312"/>
        </w:tabs>
        <w:ind w:firstLine="640" w:firstLineChars="200"/>
        <w:jc w:val="left"/>
        <w:rPr>
          <w:rFonts w:ascii="仿宋_GB2312" w:hAnsi="仿宋_GB2312" w:eastAsia="仿宋_GB2312" w:cs="仿宋_GB2312"/>
          <w:color w:val="000000" w:themeColor="text1"/>
          <w:kern w:val="0"/>
          <w:sz w:val="32"/>
          <w:szCs w:val="32"/>
          <w:shd w:val="clear" w:color="auto" w:fill="FFFFFF"/>
        </w:rPr>
      </w:pPr>
      <w:r>
        <w:rPr>
          <w:rFonts w:hint="eastAsia" w:ascii="仿宋_GB2312" w:hAnsi="仿宋_GB2312" w:eastAsia="仿宋_GB2312" w:cs="仿宋_GB2312"/>
          <w:color w:val="000000" w:themeColor="text1"/>
          <w:kern w:val="0"/>
          <w:sz w:val="32"/>
          <w:szCs w:val="32"/>
          <w:shd w:val="clear" w:color="auto" w:fill="FFFFFF"/>
        </w:rPr>
        <w:t>因公出国（境）费支出0万元。单位因公出国（境）团组0个，累计0人。</w:t>
      </w:r>
    </w:p>
    <w:p>
      <w:pPr>
        <w:widowControl/>
        <w:shd w:val="clear" w:color="auto" w:fill="FFFFFF"/>
        <w:jc w:val="left"/>
        <w:rPr>
          <w:rFonts w:ascii="仿宋_GB2312" w:hAnsi="仿宋_GB2312" w:eastAsia="仿宋_GB2312" w:cs="仿宋_GB2312"/>
          <w:color w:val="000000" w:themeColor="text1"/>
          <w:kern w:val="0"/>
          <w:sz w:val="32"/>
          <w:szCs w:val="32"/>
          <w:shd w:val="clear" w:color="auto" w:fill="FFFFFF"/>
        </w:rPr>
      </w:pPr>
      <w:r>
        <w:rPr>
          <w:rFonts w:hint="eastAsia" w:ascii="仿宋_GB2312" w:hAnsi="仿宋_GB2312" w:eastAsia="仿宋_GB2312" w:cs="仿宋_GB2312"/>
          <w:color w:val="000000" w:themeColor="text1"/>
          <w:kern w:val="0"/>
          <w:sz w:val="32"/>
          <w:szCs w:val="32"/>
          <w:shd w:val="clear" w:color="auto" w:fill="FFFFFF"/>
        </w:rPr>
        <w:t xml:space="preserve">   因公出国（境）费支出决算比2018年度0万元，0%，主要原因是没有因公出国（境）学习任务。</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2.公务用车购置及运行支出0万元。其中：</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公务用车购置支出为0万元，购置车辆0台。</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公务用车运行支出0万元。主要用于车辆运行维护。2019年期末，部门财政拨款公务用车保有量为0辆。</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公务用车购置运行费支出决算比2018年度0万元，0%。</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3.公务接待费支出0万元。其中：</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外宾接待支出0万元；</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其他国内公务接待支出0万元</w:t>
      </w:r>
      <w:r>
        <w:rPr>
          <w:rFonts w:hint="eastAsia" w:ascii="仿宋_GB2312" w:hAnsi="宋体" w:eastAsia="仿宋_GB2312" w:cs="仿宋_GB2312"/>
          <w:color w:val="000000" w:themeColor="text1"/>
          <w:kern w:val="0"/>
          <w:sz w:val="32"/>
          <w:szCs w:val="32"/>
          <w:shd w:val="clear" w:color="auto" w:fill="FFFFFF"/>
          <w:lang w:val="en-US" w:eastAsia="zh-CN"/>
        </w:rPr>
        <w:t xml:space="preserve"> </w:t>
      </w:r>
      <w:r>
        <w:rPr>
          <w:rFonts w:hint="eastAsia" w:ascii="仿宋_GB2312" w:hAnsi="宋体" w:eastAsia="仿宋_GB2312" w:cs="仿宋_GB2312"/>
          <w:color w:val="000000" w:themeColor="text1"/>
          <w:kern w:val="0"/>
          <w:sz w:val="32"/>
          <w:szCs w:val="32"/>
          <w:shd w:val="clear" w:color="auto" w:fill="FFFFFF"/>
        </w:rPr>
        <w:t>主要原因是严格执行中央“八项规定”，严格控制公务接待。</w:t>
      </w:r>
    </w:p>
    <w:p>
      <w:pPr>
        <w:widowControl/>
        <w:shd w:val="clear" w:color="auto" w:fill="FFFFFF"/>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八、关于预算绩效情况说明</w:t>
      </w:r>
    </w:p>
    <w:p>
      <w:pPr>
        <w:widowControl/>
        <w:shd w:val="clear" w:color="auto" w:fill="FFFFFF"/>
        <w:spacing w:line="270" w:lineRule="atLeast"/>
        <w:ind w:firstLine="64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（一）绩效管理工作开展情况</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2019年，认真贯彻落实财政部预算绩效管理工作要求，深化预算绩效管理工作，不断完善预算绩效管理制度，实现了“横向到边、纵向到底”的管理目标。</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1.完善制度，筑牢预算绩效管理工作根基。明确预算绩效管理工作目标、重点任务、工作责任、保障措施，进一步推动财政支出绩效评价工作制度化规范化。</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2.系统联动，凝聚推进预算绩效管理工作合力。积极推进部门财政部门开展财政管理绩效综合评价工作。</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3.夯实基础,建立健全绩效评价指标体系。结合绩效评价工作实际，按支出科目属性分类，补充个性评价指标，夯实重点项目绩效评价的基础。</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4.稳步推进，认真实施部门整体支出绩效评价。在已经开展部门整体支出绩效评价的基础上，规范部门整体支出绩效目标编制方法、绩效评价方式、评价结果反馈和应用渠道等，从目标设定，预算执行、预算管理、资产管理、职责履行等方面进一步完善整体支出绩效评价指标体系，不断提高整体支出绩效评价的科学性和统一性。</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5.积极探索，深入开展财政政策绩效评价。通过对相关财政政策投入产出进行综合性的整体检查和深入分析，促成了政策的制定和实施部门总结经验教训，纠正政策偏差，进一步调整和完善后续绩效管理办法。</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6.大胆创新，推动绩效评价与财政涉及资金有机融合。在此基础上，将绩效目标编制、绩效运行监督和绩效评价等环节与预算编制、预算执行、预算监督等紧密结合，进一步规范了涉及资金的管理，提高了涉及资金的使用效益。</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（二）项目绩效自评结果</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1.资金使用绩效。资金使用绩效良好，按规定支出，取得预期成效。</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2.效率性方面。使得项目进展富有效率，按照进度计划完成了阶段目标，取得预期效果。</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Fonts w:hint="eastAsia" w:ascii="仿宋_GB2312" w:hAnsi="宋体" w:eastAsia="仿宋_GB2312" w:cs="仿宋_GB2312"/>
          <w:color w:val="000000" w:themeColor="text1"/>
          <w:kern w:val="0"/>
          <w:sz w:val="32"/>
          <w:szCs w:val="32"/>
          <w:shd w:val="clear" w:color="auto" w:fill="FFFFFF"/>
        </w:rPr>
        <w:t>3.公平性方面。具有较强的公共属性，发挥着重大的社会效益和经济效益。</w:t>
      </w:r>
    </w:p>
    <w:p>
      <w:pPr>
        <w:widowControl/>
        <w:shd w:val="clear" w:color="auto" w:fill="FFFFFF"/>
        <w:spacing w:line="270" w:lineRule="atLeast"/>
        <w:ind w:firstLine="640" w:firstLineChars="200"/>
        <w:jc w:val="left"/>
        <w:rPr>
          <w:rStyle w:val="6"/>
          <w:rFonts w:ascii="仿宋_GB2312" w:hAnsi="宋体" w:eastAsia="仿宋_GB2312" w:cs="仿宋_GB2312"/>
          <w:b w:val="0"/>
          <w:color w:val="000000" w:themeColor="text1"/>
          <w:kern w:val="0"/>
          <w:sz w:val="32"/>
          <w:szCs w:val="32"/>
          <w:shd w:val="clear" w:color="auto" w:fill="FFFFFF"/>
        </w:rPr>
      </w:pPr>
      <w:r>
        <w:rPr>
          <w:rStyle w:val="6"/>
          <w:rFonts w:hint="eastAsia" w:ascii="黑体" w:hAnsi="黑体" w:eastAsia="黑体" w:cs="黑体"/>
          <w:b w:val="0"/>
          <w:color w:val="000000" w:themeColor="text1"/>
          <w:kern w:val="0"/>
          <w:sz w:val="32"/>
          <w:szCs w:val="32"/>
          <w:shd w:val="clear" w:color="auto" w:fill="FFFFFF"/>
        </w:rPr>
        <w:t>九、关于政府性基金预算财政拨款支出决算情况说明</w:t>
      </w:r>
    </w:p>
    <w:p>
      <w:pPr>
        <w:widowControl/>
        <w:shd w:val="clear" w:color="auto" w:fill="FFFFFF"/>
        <w:spacing w:line="270" w:lineRule="atLeast"/>
        <w:ind w:firstLine="640" w:firstLineChars="200"/>
        <w:jc w:val="left"/>
        <w:rPr>
          <w:rStyle w:val="6"/>
          <w:rFonts w:ascii="仿宋_GB2312" w:hAnsi="宋体" w:eastAsia="仿宋_GB2312" w:cs="仿宋_GB2312"/>
          <w:b w:val="0"/>
          <w:color w:val="000000" w:themeColor="text1"/>
          <w:kern w:val="0"/>
          <w:sz w:val="32"/>
          <w:szCs w:val="32"/>
          <w:shd w:val="clear" w:color="auto" w:fill="FFFFFF"/>
        </w:rPr>
      </w:pPr>
      <w:r>
        <w:rPr>
          <w:rStyle w:val="6"/>
          <w:rFonts w:hint="eastAsia" w:ascii="仿宋_GB2312" w:hAnsi="宋体" w:eastAsia="仿宋_GB2312" w:cs="仿宋_GB2312"/>
          <w:b w:val="0"/>
          <w:color w:val="000000" w:themeColor="text1"/>
          <w:kern w:val="0"/>
          <w:sz w:val="32"/>
          <w:szCs w:val="32"/>
          <w:shd w:val="clear" w:color="auto" w:fill="FFFFFF"/>
        </w:rPr>
        <w:t xml:space="preserve">2019年度政府性基金预算财政拨款支出年初预算为0万元，支出决算为0万元，完成年初预算的0%。 </w:t>
      </w:r>
    </w:p>
    <w:p>
      <w:pPr>
        <w:widowControl/>
        <w:shd w:val="clear" w:color="auto" w:fill="FFFFFF"/>
        <w:spacing w:line="270" w:lineRule="atLeast"/>
        <w:ind w:firstLine="640" w:firstLineChars="200"/>
        <w:jc w:val="left"/>
        <w:rPr>
          <w:rStyle w:val="6"/>
          <w:rFonts w:ascii="仿宋_GB2312" w:hAnsi="宋体" w:eastAsia="仿宋_GB2312" w:cs="仿宋_GB2312"/>
          <w:b w:val="0"/>
          <w:color w:val="000000" w:themeColor="text1"/>
          <w:kern w:val="0"/>
          <w:sz w:val="32"/>
          <w:szCs w:val="32"/>
          <w:shd w:val="clear" w:color="auto" w:fill="FFFFFF"/>
        </w:rPr>
      </w:pPr>
      <w:r>
        <w:rPr>
          <w:rStyle w:val="6"/>
          <w:rFonts w:hint="eastAsia" w:ascii="黑体" w:hAnsi="黑体" w:eastAsia="黑体" w:cs="黑体"/>
          <w:b w:val="0"/>
          <w:color w:val="000000" w:themeColor="text1"/>
          <w:kern w:val="0"/>
          <w:sz w:val="32"/>
          <w:szCs w:val="32"/>
          <w:shd w:val="clear" w:color="auto" w:fill="FFFFFF"/>
        </w:rPr>
        <w:t>十、机关运行经费支出情况说明</w:t>
      </w:r>
    </w:p>
    <w:p>
      <w:pPr>
        <w:widowControl/>
        <w:shd w:val="clear" w:color="auto" w:fill="FFFFFF"/>
        <w:spacing w:line="270" w:lineRule="atLeast"/>
        <w:ind w:firstLine="640" w:firstLineChars="200"/>
        <w:jc w:val="left"/>
        <w:rPr>
          <w:rFonts w:ascii="仿宋_GB2312" w:hAnsi="宋体" w:eastAsia="仿宋_GB2312" w:cs="仿宋_GB2312"/>
          <w:color w:val="000000" w:themeColor="text1"/>
          <w:kern w:val="0"/>
          <w:sz w:val="32"/>
          <w:szCs w:val="32"/>
          <w:shd w:val="clear" w:color="auto" w:fill="FFFFFF"/>
        </w:rPr>
      </w:pPr>
      <w:r>
        <w:rPr>
          <w:rStyle w:val="6"/>
          <w:rFonts w:hint="eastAsia" w:ascii="仿宋_GB2312" w:hAnsi="宋体" w:eastAsia="仿宋_GB2312" w:cs="仿宋_GB2312"/>
          <w:b w:val="0"/>
          <w:color w:val="000000" w:themeColor="text1"/>
          <w:kern w:val="0"/>
          <w:sz w:val="32"/>
          <w:szCs w:val="32"/>
          <w:shd w:val="clear" w:color="auto" w:fill="FFFFFF"/>
        </w:rPr>
        <w:t>2019年度机关运行经费支出</w:t>
      </w:r>
      <w:r>
        <w:rPr>
          <w:rFonts w:hint="eastAsia" w:ascii="仿宋_GB2312" w:hAnsi="宋体" w:eastAsia="仿宋_GB2312" w:cs="仿宋_GB2312"/>
          <w:color w:val="000000" w:themeColor="text1"/>
          <w:kern w:val="0"/>
          <w:sz w:val="32"/>
          <w:szCs w:val="32"/>
          <w:shd w:val="clear" w:color="auto" w:fill="FFFFFF"/>
        </w:rPr>
        <w:t>0万元。2018年度 0万元。主要原因是机关运营费为行政单位，参照公务员事业单位专用支出科目，本单位为非参照公务员事业单位，无该项支出。</w:t>
      </w:r>
    </w:p>
    <w:p>
      <w:pPr>
        <w:widowControl/>
        <w:numPr>
          <w:ilvl w:val="0"/>
          <w:numId w:val="2"/>
        </w:numPr>
        <w:shd w:val="clear" w:color="auto" w:fill="FFFFFF"/>
        <w:spacing w:line="270" w:lineRule="atLeast"/>
        <w:ind w:firstLine="640" w:firstLineChars="200"/>
        <w:jc w:val="left"/>
        <w:rPr>
          <w:rFonts w:ascii="黑体" w:hAnsi="黑体" w:eastAsia="黑体" w:cs="黑体"/>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政府采购支出情况说明</w:t>
      </w:r>
    </w:p>
    <w:p>
      <w:pPr>
        <w:widowControl/>
        <w:shd w:val="clear" w:color="auto" w:fill="FFFFFF"/>
        <w:spacing w:line="270" w:lineRule="atLeast"/>
        <w:ind w:firstLine="640" w:firstLineChars="200"/>
        <w:jc w:val="left"/>
        <w:rPr>
          <w:rStyle w:val="6"/>
          <w:rFonts w:ascii="仿宋_GB2312" w:hAnsi="宋体" w:eastAsia="仿宋_GB2312" w:cs="仿宋_GB2312"/>
          <w:b w:val="0"/>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 xml:space="preserve"> </w:t>
      </w:r>
      <w:r>
        <w:rPr>
          <w:rStyle w:val="6"/>
          <w:rFonts w:hint="eastAsia" w:ascii="仿宋_GB2312" w:hAnsi="宋体" w:eastAsia="仿宋_GB2312" w:cs="仿宋_GB2312"/>
          <w:b w:val="0"/>
          <w:color w:val="000000" w:themeColor="text1"/>
          <w:kern w:val="0"/>
          <w:sz w:val="32"/>
          <w:szCs w:val="32"/>
          <w:shd w:val="clear" w:color="auto" w:fill="FFFFFF"/>
        </w:rPr>
        <w:t>2019年度政府采购支出总额0万元，其中：政府采购货物支出0万元，政府采购工程支出0万元，政府采购服务支出0万元。授予中小企业合同金额0万元，占政府采购支出总额0%</w:t>
      </w:r>
    </w:p>
    <w:p>
      <w:pPr>
        <w:widowControl/>
        <w:shd w:val="clear" w:color="auto" w:fill="FFFFFF"/>
        <w:spacing w:line="270" w:lineRule="atLeast"/>
        <w:ind w:firstLine="640" w:firstLineChars="200"/>
        <w:jc w:val="left"/>
        <w:rPr>
          <w:rStyle w:val="6"/>
          <w:rFonts w:ascii="仿宋_GB2312" w:hAnsi="宋体" w:eastAsia="仿宋_GB2312" w:cs="仿宋_GB2312"/>
          <w:b w:val="0"/>
          <w:color w:val="000000" w:themeColor="text1"/>
          <w:kern w:val="0"/>
          <w:sz w:val="32"/>
          <w:szCs w:val="32"/>
          <w:shd w:val="clear" w:color="auto" w:fill="FFFFFF"/>
        </w:rPr>
      </w:pPr>
      <w:r>
        <w:rPr>
          <w:rStyle w:val="6"/>
          <w:rFonts w:hint="eastAsia" w:ascii="仿宋_GB2312" w:hAnsi="宋体" w:eastAsia="仿宋_GB2312" w:cs="仿宋_GB2312"/>
          <w:b w:val="0"/>
          <w:color w:val="000000" w:themeColor="text1"/>
          <w:kern w:val="0"/>
          <w:sz w:val="32"/>
          <w:szCs w:val="32"/>
          <w:shd w:val="clear" w:color="auto" w:fill="FFFFFF"/>
        </w:rPr>
        <w:t>其中：授予小微企业合同金额0万元，占政府采购支出总额的0%。</w:t>
      </w:r>
    </w:p>
    <w:p>
      <w:pPr>
        <w:widowControl/>
        <w:numPr>
          <w:ilvl w:val="0"/>
          <w:numId w:val="2"/>
        </w:numPr>
        <w:shd w:val="clear" w:color="auto" w:fill="FFFFFF"/>
        <w:spacing w:line="270" w:lineRule="atLeast"/>
        <w:ind w:firstLine="640" w:firstLineChars="200"/>
        <w:jc w:val="left"/>
        <w:rPr>
          <w:rFonts w:ascii="黑体" w:hAnsi="黑体" w:eastAsia="黑体" w:cs="黑体"/>
          <w:color w:val="000000" w:themeColor="text1"/>
          <w:kern w:val="0"/>
          <w:sz w:val="32"/>
          <w:szCs w:val="32"/>
          <w:shd w:val="clear" w:color="auto" w:fill="FFFFFF"/>
        </w:rPr>
      </w:pPr>
      <w:r>
        <w:rPr>
          <w:rFonts w:hint="eastAsia" w:ascii="黑体" w:hAnsi="黑体" w:eastAsia="黑体" w:cs="黑体"/>
          <w:color w:val="000000" w:themeColor="text1"/>
          <w:kern w:val="0"/>
          <w:sz w:val="32"/>
          <w:szCs w:val="32"/>
          <w:shd w:val="clear" w:color="auto" w:fill="FFFFFF"/>
        </w:rPr>
        <w:t>国有资产占用情况说明</w:t>
      </w:r>
    </w:p>
    <w:p>
      <w:pPr>
        <w:widowControl/>
        <w:shd w:val="clear" w:color="auto" w:fill="FFFFFF"/>
        <w:spacing w:line="270" w:lineRule="atLeast"/>
        <w:ind w:left="420" w:leftChars="200" w:firstLine="320" w:firstLineChars="100"/>
        <w:jc w:val="left"/>
        <w:rPr>
          <w:rFonts w:ascii="仿宋_GB2312" w:hAnsi="仿宋_GB2312" w:eastAsia="仿宋_GB2312" w:cs="仿宋_GB2312"/>
          <w:color w:val="000000" w:themeColor="text1"/>
          <w:kern w:val="0"/>
          <w:sz w:val="32"/>
          <w:szCs w:val="32"/>
          <w:shd w:val="clear" w:color="auto" w:fill="FFFFFF"/>
        </w:rPr>
      </w:pPr>
      <w:r>
        <w:rPr>
          <w:rStyle w:val="6"/>
          <w:rFonts w:hint="eastAsia" w:ascii="仿宋_GB2312" w:hAnsi="宋体" w:eastAsia="仿宋_GB2312" w:cs="仿宋_GB2312"/>
          <w:b w:val="0"/>
          <w:color w:val="000000" w:themeColor="text1"/>
          <w:kern w:val="0"/>
          <w:sz w:val="32"/>
          <w:szCs w:val="32"/>
          <w:shd w:val="clear" w:color="auto" w:fill="FFFFFF"/>
        </w:rPr>
        <w:t>2019</w:t>
      </w:r>
      <w:r>
        <w:rPr>
          <w:rFonts w:hint="eastAsia" w:ascii="仿宋_GB2312" w:hAnsi="仿宋_GB2312" w:eastAsia="仿宋_GB2312" w:cs="仿宋_GB2312"/>
          <w:color w:val="000000" w:themeColor="text1"/>
          <w:kern w:val="0"/>
          <w:sz w:val="32"/>
          <w:szCs w:val="32"/>
          <w:shd w:val="clear" w:color="auto" w:fill="FFFFFF"/>
        </w:rPr>
        <w:t>年期末，淮阳龙湖风景名胜区保护中心共有车辆1辆，其中：一般公务用车0辆、一般执法执勤用车1辆、特种专业技术用车0辆，其他用车0辆；单位价值50万以上的通用设备0台，单位价值100万以上的通用设备0台。</w:t>
      </w:r>
    </w:p>
    <w:p>
      <w:pPr>
        <w:widowControl/>
        <w:shd w:val="clear" w:color="auto" w:fill="FFFFFF"/>
        <w:spacing w:line="270" w:lineRule="atLeast"/>
        <w:ind w:firstLine="672"/>
        <w:jc w:val="left"/>
        <w:rPr>
          <w:rStyle w:val="6"/>
          <w:rFonts w:ascii="仿宋_GB2312" w:hAnsi="宋体" w:eastAsia="仿宋_GB2312" w:cs="仿宋_GB2312"/>
          <w:b w:val="0"/>
          <w:color w:val="000000" w:themeColor="text1"/>
          <w:kern w:val="0"/>
          <w:sz w:val="32"/>
          <w:szCs w:val="32"/>
          <w:shd w:val="clear" w:color="auto" w:fill="FFFFFF"/>
        </w:rPr>
      </w:pPr>
    </w:p>
    <w:p>
      <w:pPr>
        <w:widowControl/>
        <w:shd w:val="clear" w:color="auto" w:fill="FFFFFF"/>
        <w:spacing w:line="270" w:lineRule="atLeast"/>
        <w:ind w:firstLine="672"/>
        <w:jc w:val="left"/>
        <w:rPr>
          <w:rStyle w:val="6"/>
          <w:rFonts w:ascii="仿宋_GB2312" w:hAnsi="宋体" w:eastAsia="仿宋_GB2312" w:cs="仿宋_GB2312"/>
          <w:b w:val="0"/>
          <w:color w:val="000000" w:themeColor="text1"/>
          <w:kern w:val="0"/>
          <w:sz w:val="32"/>
          <w:szCs w:val="32"/>
          <w:shd w:val="clear" w:color="auto" w:fill="FFFFFF"/>
        </w:rPr>
      </w:pPr>
    </w:p>
    <w:p>
      <w:pPr>
        <w:widowControl/>
        <w:shd w:val="clear" w:color="auto" w:fill="FFFFFF"/>
        <w:spacing w:line="270" w:lineRule="atLeast"/>
        <w:jc w:val="left"/>
        <w:rPr>
          <w:rStyle w:val="6"/>
          <w:rFonts w:ascii="仿宋_GB2312" w:hAnsi="宋体" w:eastAsia="仿宋_GB2312" w:cs="仿宋_GB2312"/>
          <w:b w:val="0"/>
          <w:color w:val="000000" w:themeColor="text1"/>
          <w:kern w:val="0"/>
          <w:sz w:val="32"/>
          <w:szCs w:val="32"/>
          <w:shd w:val="clear" w:color="auto" w:fill="FFFFFF"/>
        </w:rPr>
      </w:pPr>
    </w:p>
    <w:p>
      <w:pPr>
        <w:widowControl/>
        <w:shd w:val="clear" w:color="auto" w:fill="FFFFFF"/>
        <w:spacing w:line="270" w:lineRule="atLeast"/>
        <w:jc w:val="left"/>
        <w:rPr>
          <w:rStyle w:val="6"/>
          <w:rFonts w:ascii="仿宋_GB2312" w:hAnsi="宋体" w:eastAsia="仿宋_GB2312" w:cs="仿宋_GB2312"/>
          <w:b w:val="0"/>
          <w:color w:val="000000" w:themeColor="text1"/>
          <w:kern w:val="0"/>
          <w:sz w:val="32"/>
          <w:szCs w:val="32"/>
          <w:shd w:val="clear" w:color="auto" w:fill="FFFFFF"/>
        </w:rPr>
      </w:pPr>
    </w:p>
    <w:p>
      <w:pPr>
        <w:widowControl/>
        <w:shd w:val="clear" w:color="auto" w:fill="FFFFFF"/>
        <w:spacing w:line="408" w:lineRule="atLeast"/>
        <w:jc w:val="center"/>
        <w:rPr>
          <w:rStyle w:val="6"/>
          <w:rFonts w:ascii="黑体" w:hAnsi="黑体" w:eastAsia="黑体" w:cs="黑体"/>
          <w:b w:val="0"/>
          <w:color w:val="000000" w:themeColor="text1"/>
          <w:kern w:val="0"/>
          <w:sz w:val="44"/>
          <w:szCs w:val="44"/>
          <w:shd w:val="clear" w:color="auto" w:fill="FFFFFF"/>
        </w:rPr>
      </w:pPr>
      <w:r>
        <w:rPr>
          <w:rStyle w:val="6"/>
          <w:rFonts w:hint="eastAsia" w:ascii="黑体" w:hAnsi="黑体" w:eastAsia="黑体" w:cs="黑体"/>
          <w:b w:val="0"/>
          <w:color w:val="000000" w:themeColor="text1"/>
          <w:kern w:val="0"/>
          <w:sz w:val="44"/>
          <w:szCs w:val="44"/>
          <w:shd w:val="clear" w:color="auto" w:fill="FFFFFF"/>
        </w:rPr>
        <w:t>第四部分  名词解释</w:t>
      </w:r>
    </w:p>
    <w:p>
      <w:pPr>
        <w:widowControl/>
        <w:shd w:val="clear" w:color="auto" w:fill="FFFFFF"/>
        <w:spacing w:line="270" w:lineRule="atLeast"/>
        <w:rPr>
          <w:rFonts w:ascii="黑体" w:hAnsi="宋体" w:eastAsia="黑体" w:cs="黑体"/>
          <w:color w:val="000000" w:themeColor="text1"/>
          <w:kern w:val="0"/>
          <w:sz w:val="32"/>
          <w:szCs w:val="32"/>
          <w:shd w:val="clear" w:color="auto" w:fill="FFFFFF"/>
        </w:rPr>
      </w:pPr>
    </w:p>
    <w:p>
      <w:pPr>
        <w:widowControl/>
        <w:shd w:val="clear" w:color="auto" w:fill="FFFFFF"/>
        <w:spacing w:line="270" w:lineRule="atLeast"/>
        <w:ind w:firstLine="672"/>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一、财政拨款收入：是指省级财政当年拨付的资金。</w:t>
      </w:r>
    </w:p>
    <w:p>
      <w:pPr>
        <w:widowControl/>
        <w:shd w:val="clear" w:color="auto" w:fill="FFFFFF"/>
        <w:spacing w:line="270" w:lineRule="atLeast"/>
        <w:ind w:firstLine="672"/>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二、事业收入：是指事业单位开展专业活动及辅助活动所取 得的收入。</w:t>
      </w:r>
    </w:p>
    <w:p>
      <w:pPr>
        <w:widowControl/>
        <w:shd w:val="clear" w:color="auto" w:fill="FFFFFF"/>
        <w:spacing w:line="270" w:lineRule="atLeast"/>
        <w:ind w:firstLine="640" w:firstLineChars="200"/>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三、其他收入：是指部门取得的除“财政拨款”、“事业收入”、“事业单位经营收入”等以外的收入。</w:t>
      </w:r>
    </w:p>
    <w:p>
      <w:pPr>
        <w:widowControl/>
        <w:shd w:val="clear" w:color="auto" w:fill="FFFFFF"/>
        <w:spacing w:line="270" w:lineRule="atLeast"/>
        <w:ind w:firstLine="672"/>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 支差额的基金）弥补当年收支缺口的资金。</w:t>
      </w:r>
    </w:p>
    <w:p>
      <w:pPr>
        <w:widowControl/>
        <w:shd w:val="clear" w:color="auto" w:fill="FFFFFF"/>
        <w:spacing w:line="270" w:lineRule="atLeast"/>
        <w:ind w:firstLine="672"/>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五、基本支出：是指为保障机构正常运转、完成日常工作任务所必需的开支，其内容包括人员经费和日常公用经费两部分。</w:t>
      </w:r>
    </w:p>
    <w:p>
      <w:pPr>
        <w:widowControl/>
        <w:shd w:val="clear" w:color="auto" w:fill="FFFFFF"/>
        <w:spacing w:line="270" w:lineRule="atLeast"/>
        <w:ind w:firstLine="672"/>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六、项目支出：是指在基本支出之外，为完成特定的行政工作任务或事业发展目标所发生的支出。</w:t>
      </w:r>
    </w:p>
    <w:p>
      <w:pPr>
        <w:widowControl/>
        <w:shd w:val="clear" w:color="auto" w:fill="FFFFFF"/>
        <w:spacing w:line="270" w:lineRule="atLeast"/>
        <w:ind w:firstLine="672"/>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七、“三公”经费：是指纳入省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widowControl/>
        <w:shd w:val="clear" w:color="auto" w:fill="FFFFFF"/>
        <w:spacing w:line="270" w:lineRule="atLeast"/>
        <w:ind w:firstLine="672"/>
        <w:jc w:val="left"/>
        <w:rPr>
          <w:rFonts w:ascii="宋体" w:hAnsi="宋体" w:eastAsia="宋体" w:cs="宋体"/>
          <w:color w:val="000000" w:themeColor="text1"/>
          <w:sz w:val="18"/>
          <w:szCs w:val="18"/>
        </w:rPr>
      </w:pPr>
      <w:r>
        <w:rPr>
          <w:rFonts w:hint="eastAsia" w:ascii="仿宋_GB2312" w:hAnsi="宋体" w:eastAsia="仿宋_GB2312" w:cs="仿宋_GB2312"/>
          <w:color w:val="000000" w:themeColor="text1"/>
          <w:kern w:val="0"/>
          <w:sz w:val="32"/>
          <w:szCs w:val="32"/>
          <w:shd w:val="clear" w:color="auto" w:fill="FFFFFF"/>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10601030101010101"/>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816025"/>
      <w:docPartObj>
        <w:docPartGallery w:val="autotext"/>
      </w:docPartObj>
    </w:sdtPr>
    <w:sdtContent>
      <w:p>
        <w:pPr>
          <w:pStyle w:val="2"/>
          <w:jc w:val="center"/>
        </w:pPr>
        <w:r>
          <w:fldChar w:fldCharType="begin"/>
        </w:r>
        <w:r>
          <w:instrText xml:space="preserve"> PAGE   \* MERGEFORMAT </w:instrText>
        </w:r>
        <w:r>
          <w:fldChar w:fldCharType="separate"/>
        </w:r>
        <w:r>
          <w:rPr>
            <w:lang w:val="zh-CN"/>
          </w:rPr>
          <w:t>23</w:t>
        </w:r>
        <w:r>
          <w:rPr>
            <w:lang w:val="zh-CN"/>
          </w:rPr>
          <w:fldChar w:fldCharType="end"/>
        </w:r>
      </w:p>
    </w:sdtContent>
  </w:sdt>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BB72C5"/>
    <w:multiLevelType w:val="singleLevel"/>
    <w:tmpl w:val="9EBB72C5"/>
    <w:lvl w:ilvl="0" w:tentative="0">
      <w:start w:val="11"/>
      <w:numFmt w:val="chineseCounting"/>
      <w:suff w:val="nothing"/>
      <w:lvlText w:val="%1、"/>
      <w:lvlJc w:val="left"/>
      <w:rPr>
        <w:rFonts w:hint="eastAsia"/>
      </w:rPr>
    </w:lvl>
  </w:abstractNum>
  <w:abstractNum w:abstractNumId="1">
    <w:nsid w:val="2193C862"/>
    <w:multiLevelType w:val="singleLevel"/>
    <w:tmpl w:val="2193C862"/>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E624F"/>
    <w:rsid w:val="0000498E"/>
    <w:rsid w:val="00052721"/>
    <w:rsid w:val="001B4369"/>
    <w:rsid w:val="001C2A3E"/>
    <w:rsid w:val="00240D79"/>
    <w:rsid w:val="003162C7"/>
    <w:rsid w:val="004D524C"/>
    <w:rsid w:val="004F13D0"/>
    <w:rsid w:val="006507C4"/>
    <w:rsid w:val="00677BBC"/>
    <w:rsid w:val="007043C4"/>
    <w:rsid w:val="00790F4C"/>
    <w:rsid w:val="008332BA"/>
    <w:rsid w:val="00833F08"/>
    <w:rsid w:val="00854D97"/>
    <w:rsid w:val="008E624F"/>
    <w:rsid w:val="00AA39FF"/>
    <w:rsid w:val="00B12911"/>
    <w:rsid w:val="00B356A7"/>
    <w:rsid w:val="00C740C1"/>
    <w:rsid w:val="00D36F2F"/>
    <w:rsid w:val="00DB4012"/>
    <w:rsid w:val="00DC277D"/>
    <w:rsid w:val="00E36B69"/>
    <w:rsid w:val="00E42FF2"/>
    <w:rsid w:val="00F701AD"/>
    <w:rsid w:val="0209202C"/>
    <w:rsid w:val="04E079FF"/>
    <w:rsid w:val="05B631D5"/>
    <w:rsid w:val="07E22DC0"/>
    <w:rsid w:val="07EF3742"/>
    <w:rsid w:val="07F3224F"/>
    <w:rsid w:val="09E72FE4"/>
    <w:rsid w:val="0CF73773"/>
    <w:rsid w:val="0DB438B1"/>
    <w:rsid w:val="0DBF57E9"/>
    <w:rsid w:val="0DEB5ED3"/>
    <w:rsid w:val="0E0F4E6F"/>
    <w:rsid w:val="0E794DC1"/>
    <w:rsid w:val="0E920076"/>
    <w:rsid w:val="0EEB4074"/>
    <w:rsid w:val="0F0D0008"/>
    <w:rsid w:val="10F809BF"/>
    <w:rsid w:val="117C2AEC"/>
    <w:rsid w:val="11D76943"/>
    <w:rsid w:val="1284676C"/>
    <w:rsid w:val="12F529D9"/>
    <w:rsid w:val="137225C0"/>
    <w:rsid w:val="13933816"/>
    <w:rsid w:val="1437236E"/>
    <w:rsid w:val="1478188F"/>
    <w:rsid w:val="14834E4B"/>
    <w:rsid w:val="14BB7541"/>
    <w:rsid w:val="156A00A0"/>
    <w:rsid w:val="15B64BA5"/>
    <w:rsid w:val="15DC2A05"/>
    <w:rsid w:val="17205F12"/>
    <w:rsid w:val="1828278A"/>
    <w:rsid w:val="1894374A"/>
    <w:rsid w:val="196B7737"/>
    <w:rsid w:val="19913DAA"/>
    <w:rsid w:val="199715C8"/>
    <w:rsid w:val="199C49A2"/>
    <w:rsid w:val="199E59DE"/>
    <w:rsid w:val="19B51059"/>
    <w:rsid w:val="1AA25A11"/>
    <w:rsid w:val="1AAD3BAE"/>
    <w:rsid w:val="1B204F84"/>
    <w:rsid w:val="1BBF587C"/>
    <w:rsid w:val="1BCB7E3B"/>
    <w:rsid w:val="1C147D11"/>
    <w:rsid w:val="1C533762"/>
    <w:rsid w:val="1C8C5615"/>
    <w:rsid w:val="1CA85C02"/>
    <w:rsid w:val="1DB07AB2"/>
    <w:rsid w:val="1F2D7257"/>
    <w:rsid w:val="1FC0578F"/>
    <w:rsid w:val="1FE464AA"/>
    <w:rsid w:val="2040660F"/>
    <w:rsid w:val="20E1666E"/>
    <w:rsid w:val="21542CE1"/>
    <w:rsid w:val="217F3562"/>
    <w:rsid w:val="220325DC"/>
    <w:rsid w:val="221447A4"/>
    <w:rsid w:val="22A06E50"/>
    <w:rsid w:val="2356269E"/>
    <w:rsid w:val="25E41DEF"/>
    <w:rsid w:val="266A10A0"/>
    <w:rsid w:val="285C37C3"/>
    <w:rsid w:val="28D17C97"/>
    <w:rsid w:val="28E26847"/>
    <w:rsid w:val="296626B6"/>
    <w:rsid w:val="2AC971AD"/>
    <w:rsid w:val="2ACA0606"/>
    <w:rsid w:val="2BCF7181"/>
    <w:rsid w:val="2BD67D42"/>
    <w:rsid w:val="2C370787"/>
    <w:rsid w:val="2C4E6F88"/>
    <w:rsid w:val="2C4F60DE"/>
    <w:rsid w:val="2C59289B"/>
    <w:rsid w:val="2D102B5F"/>
    <w:rsid w:val="2D793F16"/>
    <w:rsid w:val="2F905EFC"/>
    <w:rsid w:val="31476544"/>
    <w:rsid w:val="31B03C7C"/>
    <w:rsid w:val="31B75140"/>
    <w:rsid w:val="31CE1392"/>
    <w:rsid w:val="31D55C27"/>
    <w:rsid w:val="31E044D2"/>
    <w:rsid w:val="322C44D1"/>
    <w:rsid w:val="323E0649"/>
    <w:rsid w:val="32F15AB3"/>
    <w:rsid w:val="33094D21"/>
    <w:rsid w:val="334A570C"/>
    <w:rsid w:val="33774992"/>
    <w:rsid w:val="349E5FC3"/>
    <w:rsid w:val="35FA15BB"/>
    <w:rsid w:val="36185858"/>
    <w:rsid w:val="363A3E32"/>
    <w:rsid w:val="37855B47"/>
    <w:rsid w:val="37EC3FB5"/>
    <w:rsid w:val="38D05DEF"/>
    <w:rsid w:val="397537D8"/>
    <w:rsid w:val="3A81414B"/>
    <w:rsid w:val="3B4B4A40"/>
    <w:rsid w:val="3B6E0899"/>
    <w:rsid w:val="3B97460C"/>
    <w:rsid w:val="3C861DA0"/>
    <w:rsid w:val="3D303C40"/>
    <w:rsid w:val="3E317A26"/>
    <w:rsid w:val="3E816DA3"/>
    <w:rsid w:val="3EF5055D"/>
    <w:rsid w:val="3F1F7C06"/>
    <w:rsid w:val="3FD91B4B"/>
    <w:rsid w:val="40BD6932"/>
    <w:rsid w:val="415554BA"/>
    <w:rsid w:val="4181612D"/>
    <w:rsid w:val="422E3ECE"/>
    <w:rsid w:val="43896C05"/>
    <w:rsid w:val="43BE7ECB"/>
    <w:rsid w:val="43EC1AD0"/>
    <w:rsid w:val="44CC1518"/>
    <w:rsid w:val="452D38F7"/>
    <w:rsid w:val="45AD0A05"/>
    <w:rsid w:val="45FB37FA"/>
    <w:rsid w:val="469E0C3F"/>
    <w:rsid w:val="48237D77"/>
    <w:rsid w:val="48CC0C2F"/>
    <w:rsid w:val="4A7F02B2"/>
    <w:rsid w:val="4B173307"/>
    <w:rsid w:val="4BE36855"/>
    <w:rsid w:val="4BF22FD7"/>
    <w:rsid w:val="4C3517A9"/>
    <w:rsid w:val="4E5F23F2"/>
    <w:rsid w:val="4F07036C"/>
    <w:rsid w:val="4F362166"/>
    <w:rsid w:val="4F8704D8"/>
    <w:rsid w:val="501A55EE"/>
    <w:rsid w:val="50510ADE"/>
    <w:rsid w:val="50543B90"/>
    <w:rsid w:val="518156CD"/>
    <w:rsid w:val="53680989"/>
    <w:rsid w:val="53E6615A"/>
    <w:rsid w:val="54303185"/>
    <w:rsid w:val="552411F4"/>
    <w:rsid w:val="55B17234"/>
    <w:rsid w:val="575F5EB2"/>
    <w:rsid w:val="57926580"/>
    <w:rsid w:val="589F416B"/>
    <w:rsid w:val="59AE25E1"/>
    <w:rsid w:val="5A2B3ADA"/>
    <w:rsid w:val="5AC94AC5"/>
    <w:rsid w:val="5AF14AC3"/>
    <w:rsid w:val="5B1B46EB"/>
    <w:rsid w:val="5C3A2114"/>
    <w:rsid w:val="5C4B3658"/>
    <w:rsid w:val="5D0D09A8"/>
    <w:rsid w:val="5D71794D"/>
    <w:rsid w:val="5F3C70C5"/>
    <w:rsid w:val="5F6A34F4"/>
    <w:rsid w:val="5F7873E3"/>
    <w:rsid w:val="5FAB1E85"/>
    <w:rsid w:val="5FBE19C6"/>
    <w:rsid w:val="60066811"/>
    <w:rsid w:val="601C7303"/>
    <w:rsid w:val="607433C9"/>
    <w:rsid w:val="60CB6921"/>
    <w:rsid w:val="6143011E"/>
    <w:rsid w:val="61B83AC1"/>
    <w:rsid w:val="62547DC7"/>
    <w:rsid w:val="62F3246F"/>
    <w:rsid w:val="63481E07"/>
    <w:rsid w:val="63A51E9B"/>
    <w:rsid w:val="63BB30CA"/>
    <w:rsid w:val="643F229C"/>
    <w:rsid w:val="64965421"/>
    <w:rsid w:val="64B85786"/>
    <w:rsid w:val="650271BF"/>
    <w:rsid w:val="65AC4244"/>
    <w:rsid w:val="677A3BD4"/>
    <w:rsid w:val="67CE7FE1"/>
    <w:rsid w:val="680F4DFB"/>
    <w:rsid w:val="687B66F7"/>
    <w:rsid w:val="68A616B9"/>
    <w:rsid w:val="692D05E8"/>
    <w:rsid w:val="694C3166"/>
    <w:rsid w:val="69565A83"/>
    <w:rsid w:val="69FB0BE2"/>
    <w:rsid w:val="6A1C0A8B"/>
    <w:rsid w:val="6B103EE4"/>
    <w:rsid w:val="6B6F3CBD"/>
    <w:rsid w:val="6B803691"/>
    <w:rsid w:val="6D26514D"/>
    <w:rsid w:val="6D644001"/>
    <w:rsid w:val="6DFB46AC"/>
    <w:rsid w:val="6EF75E03"/>
    <w:rsid w:val="6EFF4E56"/>
    <w:rsid w:val="6F1558EC"/>
    <w:rsid w:val="6F6D0B7D"/>
    <w:rsid w:val="6FDA3535"/>
    <w:rsid w:val="720C46D2"/>
    <w:rsid w:val="74593F2E"/>
    <w:rsid w:val="76FA4A58"/>
    <w:rsid w:val="782A5891"/>
    <w:rsid w:val="7961430C"/>
    <w:rsid w:val="79FF4748"/>
    <w:rsid w:val="7A0F746C"/>
    <w:rsid w:val="7A7E4630"/>
    <w:rsid w:val="7B2E4D74"/>
    <w:rsid w:val="7B4E3C3C"/>
    <w:rsid w:val="7B78521A"/>
    <w:rsid w:val="7B7F55AD"/>
    <w:rsid w:val="7BEE2914"/>
    <w:rsid w:val="7C536980"/>
    <w:rsid w:val="7C892D33"/>
    <w:rsid w:val="7D231D21"/>
    <w:rsid w:val="7D9D7540"/>
    <w:rsid w:val="7DB65A52"/>
    <w:rsid w:val="7DC342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6">
    <w:name w:val="Strong"/>
    <w:basedOn w:val="5"/>
    <w:qFormat/>
    <w:uiPriority w:val="0"/>
    <w:rPr>
      <w:b/>
    </w:rPr>
  </w:style>
  <w:style w:type="character" w:styleId="7">
    <w:name w:val="Hyperlink"/>
    <w:basedOn w:val="5"/>
    <w:qFormat/>
    <w:uiPriority w:val="0"/>
    <w:rPr>
      <w:color w:val="0000FF"/>
      <w:u w:val="single"/>
    </w:rPr>
  </w:style>
  <w:style w:type="character" w:customStyle="1" w:styleId="8">
    <w:name w:val="页眉 Char"/>
    <w:basedOn w:val="5"/>
    <w:link w:val="3"/>
    <w:qFormat/>
    <w:uiPriority w:val="0"/>
    <w:rPr>
      <w:rFonts w:asciiTheme="minorHAnsi" w:hAnsiTheme="minorHAnsi" w:eastAsiaTheme="minorEastAsia" w:cstheme="minorBidi"/>
      <w:kern w:val="2"/>
      <w:sz w:val="18"/>
      <w:szCs w:val="18"/>
    </w:rPr>
  </w:style>
  <w:style w:type="character" w:customStyle="1" w:styleId="9">
    <w:name w:val="页脚 Char"/>
    <w:basedOn w:val="5"/>
    <w:link w:val="2"/>
    <w:qFormat/>
    <w:uiPriority w:val="99"/>
    <w:rPr>
      <w:rFonts w:asciiTheme="minorHAnsi" w:hAnsiTheme="minorHAnsi" w:eastAsiaTheme="minorEastAsia" w:cstheme="minorBidi"/>
      <w:kern w:val="2"/>
      <w:sz w:val="18"/>
      <w:szCs w:val="18"/>
    </w:rPr>
  </w:style>
  <w:style w:type="paragraph" w:styleId="10">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2E33375-CC10-4C2D-968C-3F4833E8E4D2}">
  <ds:schemaRefs/>
</ds:datastoreItem>
</file>

<file path=docProps/app.xml><?xml version="1.0" encoding="utf-8"?>
<Properties xmlns="http://schemas.openxmlformats.org/officeDocument/2006/extended-properties" xmlns:vt="http://schemas.openxmlformats.org/officeDocument/2006/docPropsVTypes">
  <Template>Normal</Template>
  <Pages>23</Pages>
  <Words>1872</Words>
  <Characters>10673</Characters>
  <Lines>88</Lines>
  <Paragraphs>25</Paragraphs>
  <TotalTime>0</TotalTime>
  <ScaleCrop>false</ScaleCrop>
  <LinksUpToDate>false</LinksUpToDate>
  <CharactersWithSpaces>12520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2020-10-13T01:28:00Z</cp:lastPrinted>
  <dcterms:modified xsi:type="dcterms:W3CDTF">2021-06-11T10:03:38Z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05515A803AFD44ECB85D97D794DE79D0</vt:lpwstr>
  </property>
</Properties>
</file>