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/>
        <w:snapToGrid/>
        <w:spacing w:line="450" w:lineRule="atLeast"/>
        <w:jc w:val="center"/>
        <w:outlineLvl w:val="0"/>
        <w:rPr>
          <w:rFonts w:hint="eastAsia" w:ascii="黑体" w:hAnsi="黑体" w:eastAsia="黑体" w:cs="黑体"/>
          <w:color w:val="000000"/>
          <w:kern w:val="36"/>
          <w:sz w:val="36"/>
          <w:szCs w:val="36"/>
        </w:rPr>
      </w:pPr>
      <w:r>
        <w:rPr>
          <w:rFonts w:hint="eastAsia" w:ascii="黑体" w:hAnsi="黑体" w:eastAsia="黑体" w:cs="黑体"/>
          <w:color w:val="000000"/>
          <w:kern w:val="36"/>
          <w:sz w:val="36"/>
          <w:szCs w:val="36"/>
        </w:rPr>
        <w:t>2019年度淮阳县委政法委部门预算公开说明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jc w:val="center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目 录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jc w:val="center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第一部分 淮阳县委政法委概况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一、主要职责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二、机构设置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第二部分  淮阳县委政法委2019年度部门预算情况说明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第三部分 名词解释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附件：    淮阳县委政法委2019年度部门预算表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一、部门收支总表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二、部门收入总表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三、部门支出总表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四、财政拨款收支总表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五、一般公共预算支出表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六、一般公共预算基本支出表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七、一般公共预算“三公”经费支出表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八、政府性基金预算支出表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jc w:val="center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第一部分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jc w:val="center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淮阳县委政法委概况</w:t>
      </w:r>
    </w:p>
    <w:p>
      <w:pPr>
        <w:wordWrap w:val="0"/>
        <w:adjustRightInd/>
        <w:snapToGrid/>
        <w:spacing w:before="225" w:after="225" w:line="240" w:lineRule="atLeas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一、 淮阳县委政法委主要职责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第一条  根据党的路线、方针、政策和县委的部署，统一政法各部门的思想和行动。组织、指导、协调全市维护社会稳定工作。对一定时期内的政法工作作出全面部署，并督促贯彻落实。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第二条检查政法部门执行纪律、法规和党的路线、方针、政策的情况，研究制定严肃执法、落实党的方针、政策的具体措施。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第三条 监督政法各部门依法行使职权，指导和协调政法部门之间既要相互监督制约，又要密切配合，督促推动大案要案的查处工作，协调有争议的重大、疑难案件。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第四条 组织推动全县政法系统的调查研究工作，总结新经验，解决新问题，探索政法工作改革，不断加强政法工作。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第五条 研究加强政法队伍和领导班子建设的具体措施，协助党委及其组织部门考察、管理政法部门的领导干部；协助有关部门查处政法系统干警违法纪案件。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第六条 组织、协调全县社会治安综合治理和维护社会稳定工作，推动以综治四项制度为龙头的各项措施的落实。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第七条 负责全县综合治理宣传工作和综治人员的教育培训。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第八条 指导各乡镇政法（综合治理）工作</w:t>
      </w:r>
    </w:p>
    <w:p>
      <w:pPr>
        <w:wordWrap w:val="0"/>
        <w:adjustRightInd/>
        <w:snapToGrid/>
        <w:spacing w:before="225" w:after="225" w:line="240" w:lineRule="atLeast"/>
        <w:ind w:firstLine="55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第九条 完成上级政法委（综治委、办）和县委、县政府交办的其它事项。</w:t>
      </w:r>
    </w:p>
    <w:p>
      <w:pPr>
        <w:wordWrap w:val="0"/>
        <w:adjustRightInd/>
        <w:snapToGrid/>
        <w:spacing w:before="225" w:after="225" w:line="24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二、淮阳县委政法委机构设置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淮阳县委政法委机关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预算包含政法委、综治办、维稳办和国安办。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无二级预算单位。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jc w:val="center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淮阳县委政法委是正科级单位，内设4个科室:办公室、协调督查室、信访督查室、政治工作办公室。在职人员18人，其中：公务员17人，工勤人员 1人。退休人员5人。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    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ab/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  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jc w:val="center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第二部分</w:t>
      </w:r>
    </w:p>
    <w:p>
      <w:pPr>
        <w:wordWrap w:val="0"/>
        <w:adjustRightInd/>
        <w:snapToGrid/>
        <w:spacing w:before="225" w:after="225" w:line="240" w:lineRule="atLeast"/>
        <w:ind w:firstLine="1280" w:firstLineChars="400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淮阳县委政法委2019年度部门预算情况说明</w:t>
      </w:r>
    </w:p>
    <w:p>
      <w:pPr>
        <w:wordWrap w:val="0"/>
        <w:adjustRightInd/>
        <w:snapToGrid/>
        <w:spacing w:before="225" w:after="225" w:line="24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一、收入支出预算总体情况说明</w:t>
      </w:r>
    </w:p>
    <w:p>
      <w:pPr>
        <w:wordWrap w:val="0"/>
        <w:adjustRightInd/>
        <w:snapToGrid/>
        <w:spacing w:before="225" w:after="225" w:line="24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淮阳县委政法委2019年收入总计626.42万元，支出总计626.42万元，与2018年相比，收、支总计各增加190.23万元。主要原因是精准扶贫及扫黑除恶工作经费增加等。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二、收入预算总体情况说明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淮阳县委政法委2019年收入合计626.42万元，其中：一般公共预算626.42万元; 政府性基金收入0万元；事业收入0万元；经营收入0万元；部门财政性资金结转0万元。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三、支出预算总体情况说明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淮阳县委政法委2019年支出合计626.42万元，其中：基本支出254.42万元，占40.61%；项目支出372万元，占59.39%。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四、财政拨款收入支出预算总体情况说明</w:t>
      </w:r>
    </w:p>
    <w:p>
      <w:pPr>
        <w:wordWrap w:val="0"/>
        <w:adjustRightInd/>
        <w:snapToGrid/>
        <w:spacing w:before="225" w:after="225" w:line="24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一般公共预算收支预算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626.42万元，与2018年相比，收、支总计各增加190.23万元。主要原因是精准扶贫及扫黑除恶工作经费增加等。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五、一般公共预算支出预算情况说明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淮阳县委政法委2019年一般公共预算支出年初预算为626.42万元。主要用于以下方面：一般公共服务支出570.06万元；社会保障和就业（类）支出32.99万元；医疗卫生（类）支出10.5万元；住房保障（类）支出12.87万元。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六、一般公共预算基本支出预算情况说明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淮阳县委政法委2019年一般公共预算基本支出254.42万元，其中：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工资福利支出225.6万元。商品和服务支出28.82万元。对个人和家庭的补助0万元。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七、政府性基金预算支出预算情况说明及采购支出情况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淮阳县委政法委2019年没有使用政府性基金预算拨款和采购安排的支出。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八、 “三公”经费支出预算情况说明</w:t>
      </w:r>
    </w:p>
    <w:p>
      <w:pPr>
        <w:wordWrap w:val="0"/>
        <w:adjustRightInd/>
        <w:snapToGrid/>
        <w:spacing w:before="225" w:after="225" w:line="555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淮阳县委政法委2019年“三公”经费预算为28万元。2019年“三公”经费支出预算数比2018年减少2.2万元。</w:t>
      </w:r>
    </w:p>
    <w:p>
      <w:pPr>
        <w:wordWrap w:val="0"/>
        <w:adjustRightInd/>
        <w:snapToGrid/>
        <w:spacing w:before="225" w:after="225" w:line="24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具体支出情况如下：</w:t>
      </w:r>
    </w:p>
    <w:p>
      <w:pPr>
        <w:wordWrap w:val="0"/>
        <w:adjustRightInd/>
        <w:snapToGrid/>
        <w:spacing w:before="225" w:after="225" w:line="555" w:lineRule="atLeast"/>
        <w:ind w:firstLine="63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（一）因公出国（境）费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0万元。</w:t>
      </w:r>
    </w:p>
    <w:p>
      <w:pPr>
        <w:wordWrap w:val="0"/>
        <w:adjustRightInd/>
        <w:snapToGrid/>
        <w:spacing w:before="225" w:after="225" w:line="240" w:lineRule="atLeast"/>
        <w:ind w:firstLine="63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（二）公务用车购置及运行费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21.7万元，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  <w:lang w:eastAsia="zh-CN"/>
        </w:rPr>
        <w:t>其中：公务用车购置费为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  <w:lang w:val="en-US" w:eastAsia="zh-CN"/>
        </w:rPr>
        <w:t>0万元，公务用车维护费为21.7</w:t>
      </w:r>
      <w:bookmarkStart w:id="0" w:name="_GoBack"/>
      <w:bookmarkEnd w:id="0"/>
      <w:r>
        <w:rPr>
          <w:rFonts w:hint="eastAsia" w:ascii="仿宋" w:hAnsi="仿宋" w:eastAsia="仿宋" w:cs="宋体"/>
          <w:color w:val="333333"/>
          <w:kern w:val="0"/>
          <w:sz w:val="32"/>
          <w:szCs w:val="32"/>
          <w:lang w:val="en-US" w:eastAsia="zh-CN"/>
        </w:rPr>
        <w:t>万元。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预算数比2018年减少1.8万元。主要原因是全县进行公车改革实行车补。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（三）公务接待费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6.3万元，主要用于按规定开支的各类公务接待支出。预算数比2018年减少0.4万元。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减少的主要原因是在公务接待中，贯彻党中央“八项规定”，严格执行《党政机关厉行节约反对浪费条例》等规定。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九、机关运行经费支出情况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2019年机关运行经费支出预算28.82万元，主要保障机构正常运转及正常履职需要。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333333"/>
          <w:sz w:val="32"/>
          <w:szCs w:val="32"/>
        </w:rPr>
        <w:t>十、政府采购支出情况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2019年政府采购预算安排0万元，其中：政府采购货物预算0万元、政府采购工程预算0万元、政府采购服务预算0万元。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国有资本经营预算支出0万元。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 </w:t>
      </w:r>
      <w:r>
        <w:rPr>
          <w:rFonts w:hint="eastAsia" w:ascii="仿宋" w:hAnsi="仿宋" w:eastAsia="仿宋" w:cs="仿宋"/>
          <w:b/>
          <w:bCs/>
          <w:color w:val="333333"/>
          <w:sz w:val="32"/>
          <w:szCs w:val="32"/>
        </w:rPr>
        <w:t>十一、重点项目预算的绩效目标等预算绩效情况说明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 2019年度，本单位没有民生项目和重点支出项目。未开展预算绩效评价。</w:t>
      </w:r>
    </w:p>
    <w:p>
      <w:pPr>
        <w:shd w:val="clear" w:color="auto" w:fill="FFFFFF"/>
        <w:wordWrap w:val="0"/>
        <w:adjustRightInd/>
        <w:snapToGrid/>
        <w:spacing w:before="225" w:after="225" w:line="330" w:lineRule="atLeas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  </w:t>
      </w:r>
      <w:r>
        <w:rPr>
          <w:rFonts w:hint="eastAsia" w:ascii="仿宋" w:hAnsi="仿宋" w:eastAsia="仿宋" w:cs="仿宋"/>
          <w:b/>
          <w:bCs/>
          <w:color w:val="333333"/>
          <w:sz w:val="32"/>
          <w:szCs w:val="32"/>
        </w:rPr>
        <w:t>十二、国有资产占用情况说明</w:t>
      </w:r>
    </w:p>
    <w:p>
      <w:pPr>
        <w:wordWrap w:val="0"/>
        <w:adjustRightInd/>
        <w:snapToGrid/>
        <w:spacing w:before="225" w:after="225" w:line="240" w:lineRule="atLeast"/>
        <w:ind w:firstLine="63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淮阳县委政法委共有车辆4辆，其中：一般公务用车3辆、一般执法执勤用车0辆、特种专业技术用车0辆，其他用车0辆0；单位价值50万元以上通用设备0台（套），单位价值100万元以上专用设备0台（套）。</w:t>
      </w: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 </w:t>
      </w: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 </w:t>
      </w: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 </w:t>
      </w: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 </w:t>
      </w: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wordWrap w:val="0"/>
        <w:adjustRightInd/>
        <w:snapToGrid/>
        <w:spacing w:before="225" w:after="225" w:line="330" w:lineRule="atLeast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adjustRightInd/>
        <w:snapToGrid/>
        <w:spacing w:before="225" w:after="225" w:line="330" w:lineRule="atLeast"/>
        <w:jc w:val="center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第三部分</w:t>
      </w:r>
    </w:p>
    <w:p>
      <w:pPr>
        <w:shd w:val="clear" w:color="auto" w:fill="FFFFFF"/>
        <w:wordWrap w:val="0"/>
        <w:adjustRightInd/>
        <w:snapToGrid/>
        <w:spacing w:after="0" w:line="420" w:lineRule="atLeast"/>
        <w:jc w:val="center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名词解释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333333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</w:rPr>
        <w:t>一、财政拨款收入：是指县级财政当年拨付的资金。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二、事业收入：是指事业单位开展专业活动及辅助活动所取得的收入。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三、其他收入：是指部门取得的除“财政拨款”、“事业收入”、“事业单位经营收入”等以外的收入。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五、基本支出：是指为保障机构正常运转、完成日常工作任务所必需的开支，其内容包括人员经费和日常公用经费两部分。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六、项目支出：是指在基本支出之外，为完成特定的行政工作任务或事业发展目标所发生的支出。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七、“三公”经费：是指纳入省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wordWrap w:val="0"/>
        <w:adjustRightInd/>
        <w:snapToGrid/>
        <w:spacing w:before="225" w:after="225" w:line="270" w:lineRule="atLeast"/>
        <w:ind w:firstLine="645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spacing w:line="220" w:lineRule="atLeast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3E39AA"/>
    <w:rsid w:val="00426133"/>
    <w:rsid w:val="004358AB"/>
    <w:rsid w:val="006565E0"/>
    <w:rsid w:val="008B7726"/>
    <w:rsid w:val="00916FFD"/>
    <w:rsid w:val="00BC1348"/>
    <w:rsid w:val="00D31D50"/>
    <w:rsid w:val="00D40C8D"/>
    <w:rsid w:val="088D136F"/>
    <w:rsid w:val="402F557A"/>
    <w:rsid w:val="45E03BFF"/>
    <w:rsid w:val="746C3A4C"/>
    <w:rsid w:val="74F41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adjustRightInd/>
      <w:snapToGrid/>
      <w:spacing w:before="100" w:beforeAutospacing="1" w:after="100" w:afterAutospacing="1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标题 1 Char"/>
    <w:basedOn w:val="5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426</Words>
  <Characters>2429</Characters>
  <Lines>20</Lines>
  <Paragraphs>5</Paragraphs>
  <TotalTime>0</TotalTime>
  <ScaleCrop>false</ScaleCrop>
  <LinksUpToDate>false</LinksUpToDate>
  <CharactersWithSpaces>2850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pc</dc:creator>
  <cp:lastModifiedBy>Administrator</cp:lastModifiedBy>
  <dcterms:modified xsi:type="dcterms:W3CDTF">2021-06-12T08:31:35Z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