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40" w:lineRule="exact"/>
        <w:ind w:left="0" w:leftChars="0" w:right="0"/>
        <w:jc w:val="both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40" w:lineRule="exact"/>
        <w:ind w:left="0" w:leftChars="0" w:right="0"/>
        <w:jc w:val="both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40" w:lineRule="exact"/>
        <w:ind w:left="0" w:leftChars="0" w:right="0"/>
        <w:jc w:val="both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40" w:lineRule="exact"/>
        <w:ind w:left="0" w:leftChars="0" w:right="0"/>
        <w:jc w:val="both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40" w:lineRule="exact"/>
        <w:ind w:left="0" w:leftChars="0" w:right="0"/>
        <w:jc w:val="both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40" w:lineRule="exact"/>
        <w:ind w:left="0" w:leftChars="0" w:right="0"/>
        <w:jc w:val="both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40" w:lineRule="exact"/>
        <w:ind w:left="0" w:leftChars="0" w:right="0"/>
        <w:jc w:val="center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40" w:lineRule="exact"/>
        <w:ind w:left="0" w:leftChars="0" w:right="0"/>
        <w:jc w:val="center"/>
        <w:textAlignment w:val="auto"/>
        <w:outlineLvl w:val="9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淮政〔20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21</w:t>
      </w:r>
      <w:r>
        <w:rPr>
          <w:rFonts w:hint="eastAsia" w:ascii="仿宋_GB2312" w:eastAsia="仿宋_GB2312"/>
          <w:color w:val="auto"/>
          <w:sz w:val="32"/>
          <w:szCs w:val="32"/>
        </w:rPr>
        <w:t>〕</w:t>
      </w:r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13</w:t>
      </w:r>
      <w:r>
        <w:rPr>
          <w:rFonts w:hint="eastAsia" w:ascii="仿宋_GB2312" w:eastAsia="仿宋_GB2312"/>
          <w:color w:val="auto"/>
          <w:sz w:val="32"/>
          <w:szCs w:val="32"/>
        </w:rPr>
        <w:t>号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4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/>
          <w:bCs/>
          <w:color w:val="auto"/>
          <w:sz w:val="32"/>
          <w:szCs w:val="36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64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/>
          <w:bCs/>
          <w:color w:val="auto"/>
          <w:sz w:val="32"/>
          <w:szCs w:val="36"/>
          <w:lang w:eastAsia="zh-CN"/>
        </w:rPr>
      </w:pPr>
    </w:p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  <w:lang w:val="en-US" w:eastAsia="zh-CN" w:bidi="ar-SA"/>
        </w:rPr>
        <w:t>周口市淮阳区人民政府</w:t>
      </w:r>
    </w:p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kern w:val="2"/>
          <w:sz w:val="18"/>
          <w:szCs w:val="18"/>
          <w:lang w:val="en-US" w:eastAsia="zh-CN" w:bidi="ar-SA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2"/>
          <w:sz w:val="44"/>
          <w:szCs w:val="44"/>
          <w:lang w:val="en-US" w:eastAsia="zh-CN" w:bidi="ar-SA"/>
        </w:rPr>
        <w:t>关于加强“菜篮子”工程建设的指导意见</w:t>
      </w:r>
    </w:p>
    <w:p>
      <w:pPr>
        <w:pStyle w:val="8"/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4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kern w:val="2"/>
          <w:sz w:val="18"/>
          <w:szCs w:val="18"/>
          <w:lang w:val="en-US" w:eastAsia="zh-CN" w:bidi="ar-SA"/>
        </w:rPr>
      </w:pPr>
    </w:p>
    <w:p>
      <w:pPr>
        <w:adjustRightInd w:val="0"/>
        <w:snapToGrid w:val="0"/>
        <w:spacing w:line="560" w:lineRule="exact"/>
        <w:jc w:val="both"/>
        <w:rPr>
          <w:rFonts w:hint="eastAsia" w:ascii="宋体" w:hAnsi="宋体" w:eastAsia="宋体" w:cs="宋体"/>
          <w:color w:val="auto"/>
          <w:kern w:val="0"/>
          <w:sz w:val="18"/>
          <w:szCs w:val="18"/>
        </w:rPr>
      </w:pPr>
      <w:r>
        <w:rPr>
          <w:rStyle w:val="12"/>
          <w:rFonts w:hint="eastAsia" w:ascii="Times New Roman" w:hAnsi="Times New Roman" w:cs="仿宋_GB2312"/>
          <w:color w:val="000000"/>
          <w:spacing w:val="-4"/>
          <w:sz w:val="32"/>
          <w:szCs w:val="32"/>
        </w:rPr>
        <w:t>各乡</w:t>
      </w:r>
      <w:r>
        <w:rPr>
          <w:rStyle w:val="12"/>
          <w:rFonts w:hint="eastAsia" w:ascii="Times New Roman" w:hAnsi="Times New Roman" w:eastAsia="仿宋_GB2312" w:cs="仿宋_GB2312"/>
          <w:color w:val="000000"/>
          <w:spacing w:val="-4"/>
          <w:sz w:val="32"/>
          <w:szCs w:val="32"/>
          <w:lang w:eastAsia="zh-CN"/>
        </w:rPr>
        <w:t>（</w:t>
      </w:r>
      <w:r>
        <w:rPr>
          <w:rStyle w:val="12"/>
          <w:rFonts w:hint="eastAsia" w:ascii="Times New Roman" w:hAnsi="Times New Roman" w:eastAsia="仿宋_GB2312" w:cs="仿宋_GB2312"/>
          <w:color w:val="000000"/>
          <w:spacing w:val="-4"/>
          <w:sz w:val="32"/>
          <w:szCs w:val="32"/>
          <w:lang w:val="en-US" w:eastAsia="zh-CN"/>
        </w:rPr>
        <w:t>镇</w:t>
      </w:r>
      <w:r>
        <w:rPr>
          <w:rStyle w:val="12"/>
          <w:rFonts w:hint="eastAsia" w:ascii="Times New Roman" w:hAnsi="Times New Roman" w:eastAsia="仿宋_GB2312" w:cs="仿宋_GB2312"/>
          <w:color w:val="000000"/>
          <w:spacing w:val="-4"/>
          <w:sz w:val="32"/>
          <w:szCs w:val="32"/>
          <w:lang w:eastAsia="zh-CN"/>
        </w:rPr>
        <w:t>）</w:t>
      </w:r>
      <w:r>
        <w:rPr>
          <w:rStyle w:val="12"/>
          <w:rFonts w:hint="eastAsia" w:ascii="Times New Roman" w:hAnsi="Times New Roman" w:cs="仿宋_GB2312"/>
          <w:color w:val="000000"/>
          <w:spacing w:val="-4"/>
          <w:sz w:val="32"/>
          <w:szCs w:val="32"/>
        </w:rPr>
        <w:t>人民政府，</w:t>
      </w:r>
      <w:r>
        <w:rPr>
          <w:rStyle w:val="12"/>
          <w:rFonts w:hint="eastAsia" w:ascii="Times New Roman" w:hAnsi="Times New Roman" w:eastAsia="仿宋_GB2312" w:cs="仿宋_GB2312"/>
          <w:color w:val="000000"/>
          <w:spacing w:val="-4"/>
          <w:sz w:val="32"/>
          <w:szCs w:val="32"/>
          <w:lang w:val="en-US" w:eastAsia="zh-CN"/>
        </w:rPr>
        <w:t>柳湖街道办事处，区</w:t>
      </w:r>
      <w:r>
        <w:rPr>
          <w:rStyle w:val="12"/>
          <w:rFonts w:hint="eastAsia" w:ascii="Times New Roman" w:hAnsi="Times New Roman" w:cs="仿宋_GB2312"/>
          <w:color w:val="000000"/>
          <w:spacing w:val="-4"/>
          <w:sz w:val="32"/>
          <w:szCs w:val="32"/>
        </w:rPr>
        <w:t>产业集聚区</w:t>
      </w:r>
      <w:r>
        <w:rPr>
          <w:rStyle w:val="12"/>
          <w:rFonts w:hint="eastAsia" w:ascii="Times New Roman" w:hAnsi="Times New Roman" w:eastAsia="仿宋_GB2312" w:cs="仿宋_GB2312"/>
          <w:color w:val="000000"/>
          <w:spacing w:val="-4"/>
          <w:sz w:val="32"/>
          <w:szCs w:val="32"/>
          <w:lang w:val="en-US" w:eastAsia="zh-CN"/>
        </w:rPr>
        <w:t>管委会，区农场、原种场</w:t>
      </w:r>
      <w:r>
        <w:rPr>
          <w:rStyle w:val="12"/>
          <w:rFonts w:hint="eastAsia" w:ascii="Times New Roman" w:hAnsi="Times New Roman" w:cs="仿宋_GB2312"/>
          <w:color w:val="000000"/>
          <w:spacing w:val="-4"/>
          <w:sz w:val="32"/>
          <w:szCs w:val="32"/>
        </w:rPr>
        <w:t>，区政府</w:t>
      </w:r>
      <w:r>
        <w:rPr>
          <w:rStyle w:val="12"/>
          <w:rFonts w:hint="eastAsia" w:ascii="Times New Roman" w:hAnsi="Times New Roman" w:eastAsia="仿宋_GB2312" w:cs="仿宋_GB2312"/>
          <w:color w:val="000000"/>
          <w:spacing w:val="-4"/>
          <w:sz w:val="32"/>
          <w:szCs w:val="32"/>
          <w:lang w:val="en-US" w:eastAsia="zh-CN"/>
        </w:rPr>
        <w:t>有关</w:t>
      </w:r>
      <w:r>
        <w:rPr>
          <w:rStyle w:val="12"/>
          <w:rFonts w:hint="eastAsia" w:ascii="Times New Roman" w:hAnsi="Times New Roman" w:cs="仿宋_GB2312"/>
          <w:color w:val="000000"/>
          <w:spacing w:val="-4"/>
          <w:sz w:val="32"/>
          <w:szCs w:val="32"/>
        </w:rPr>
        <w:t>部门：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为认真贯彻落实国务院、省政府“菜篮子”市长负责制有关要求，根据《周口市人民政府办公室关于印发周口市“菜篮子”工作责任制考核办法的通知》（周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  <w:t>政办</w:t>
      </w:r>
      <w:r>
        <w:rPr>
          <w:rFonts w:hint="eastAsia" w:ascii="仿宋_GB2312" w:hAnsi="仿宋_GB2312" w:eastAsia="仿宋_GB2312" w:cs="仿宋_GB2312"/>
          <w:b w:val="0"/>
          <w:bCs w:val="0"/>
          <w:spacing w:val="-11"/>
          <w:w w:val="95"/>
          <w:sz w:val="32"/>
          <w:szCs w:val="32"/>
          <w:lang w:val="en-US" w:eastAsia="zh-CN"/>
        </w:rPr>
        <w:t>〔2021〕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  <w:t>4号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）精神</w:t>
      </w:r>
      <w:r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,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进一步发展壮大我区“菜篮子”产业，提升“菜篮子”生产抗风险能力，保障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我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区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市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场供应，满足城乡居民对“菜篮子”产品日益增加的需求，结合我区实际，现就加强我区“菜篮子”工程建设，提出以下意见。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黑体" w:hAnsi="宋体" w:eastAsia="黑体" w:cs="宋体"/>
          <w:b w:val="0"/>
          <w:bCs w:val="0"/>
          <w:color w:val="auto"/>
          <w:kern w:val="0"/>
          <w:sz w:val="32"/>
          <w:szCs w:val="32"/>
        </w:rPr>
        <w:t>一、总体思路和发展目标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楷体_GB2312" w:hAnsi="宋体" w:eastAsia="楷体_GB2312" w:cs="宋体"/>
          <w:b w:val="0"/>
          <w:bCs w:val="0"/>
          <w:color w:val="auto"/>
          <w:kern w:val="0"/>
          <w:sz w:val="32"/>
          <w:szCs w:val="32"/>
        </w:rPr>
        <w:t>（一）总体思路。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通过实施科技创新，提升种养殖规模水平，大力发展现代高效农业，提高“菜篮子”供给能力，促进“菜篮子”生产经营方式转变。加快农产品市场标准化建设，建立完善农产品冷链物流体系。提高质量安全水平，确保城乡居民“餐桌”安全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楷体_GB2312" w:hAnsi="宋体" w:eastAsia="楷体_GB2312" w:cs="宋体"/>
          <w:b w:val="0"/>
          <w:bCs w:val="0"/>
          <w:color w:val="auto"/>
          <w:kern w:val="0"/>
          <w:sz w:val="32"/>
          <w:szCs w:val="32"/>
        </w:rPr>
        <w:t>（二）发展目标。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严格落实“菜篮子”区长负责制，确保蔬菜、肉蛋奶、水产品等生产供应，抓好生产发展、产销衔接、流通运输、市场调控、质量安全等重点环节，加强监测预警，完善应急预案。初步实现蔬菜生产布局合理，市场调节能力增强，四季均衡供应，种植面积逐步达到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42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万亩并保持稳定，产量逐步达到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100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万吨左右；肉、蛋、奶、水产产量分别达到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万吨、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4.5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万吨、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0.3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万吨、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0.9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万吨；积极建设规模化设施蔬菜生产基地，产销衔接、物流配送体系初步形成；市场调控能力进一步增强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；“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菜篮子”产品质量安全水平进一步提升，推动规模化“菜篮子”企业可追溯体系建设完善。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黑体" w:hAnsi="宋体" w:eastAsia="黑体" w:cs="宋体"/>
          <w:b w:val="0"/>
          <w:bCs w:val="0"/>
          <w:color w:val="auto"/>
          <w:kern w:val="0"/>
          <w:sz w:val="32"/>
          <w:szCs w:val="32"/>
        </w:rPr>
        <w:t>二、主要任务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楷体_GB2312" w:hAnsi="宋体" w:eastAsia="楷体_GB2312" w:cs="宋体"/>
          <w:b w:val="0"/>
          <w:bCs w:val="0"/>
          <w:color w:val="auto"/>
          <w:kern w:val="0"/>
          <w:sz w:val="32"/>
          <w:szCs w:val="32"/>
        </w:rPr>
        <w:t>（一）统筹规划，提升“菜篮子”生产能力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ascii="微软雅黑" w:hAnsi="宋体" w:eastAsia="微软雅黑" w:cs="宋体"/>
          <w:b/>
          <w:bCs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  <w:t>1.</w:t>
      </w: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  <w:t>搞好规划布局，提升蔬菜生产水平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突出工作重点，促进蔬菜产业发展。围绕重点乡镇发展规模蔬菜种植</w:t>
      </w:r>
      <w:r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,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着力抓好我区优势蔬菜产区基地建设，突出抓好节能日光温室、温棚错季蔬菜生产，争取建成现代农业产业示范园区。结合各乡镇实际，积极引导黄花菜、食用菌、芦笋等特色产业发展。鼓励创新产业模式发展，拉长产业链条，实现蔬菜生产的一、二、三产业融合，增加蔬菜生产基地增收渠道。鼓励社会资本投资建设蔬菜产品深加工企业，以企业带动蔬菜产业发展，降低蔬菜季节性供求矛盾，提升蔬菜产品附加值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依靠科技创新，推进多样化生产。积极鼓励引进新技术，不断创新节能温室、塑料大棚蔬菜生产新模式，要通过示范带动，积极引导农民大力发展新型日光温室，满足冬季蔬菜供应。积极开展蔬菜生产技术的研发工作，尽可能地拉长蔬菜生产周期，使收获期不断向淡季延伸。积极引进、示范、推广蔬菜新品种，丰富居民“菜篮子”，满足城乡居民消费需求。实施人才兴菜战略，鼓励蔬菜生产企业、农民专业合作社、生产大户加强与科研院所和生产先进地区联系，实现产、学、研相结合，加快科研成果转化。及时引进高技术人才，着力培养当地技术人员，不断壮大技术人员队伍，靠人才推动科技成果转化，实现蔬菜产业可持续高效发展。鼓励和扶持建设蔬菜工厂化育苗基地，为菜农提供更多更好的优质种苗，降低生产成本，切实解决菜农育苗难问题。搞好一体化服务，坚持技术指导经常化、一体化、市场化、效益化，充分发挥各类信息网络平台的作用，及时推送“菜篮子”生产、加工技术信息及有关政策，解决技术棚架问题。切实实现蔬菜生产产量逐步达到或超过前</w:t>
      </w:r>
      <w:r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3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年平均值的</w:t>
      </w:r>
      <w:r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90%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微软雅黑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责任单位：区“菜篮子”工程建设领导小组成员单位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ascii="微软雅黑" w:hAnsi="宋体" w:eastAsia="微软雅黑" w:cs="宋体"/>
          <w:b/>
          <w:bCs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  <w:t>2.</w:t>
      </w: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  <w:t>加快转型升级，增强畜禽生产及供给能力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科学规划产业布局，统筹兼顾生猪产能恢复和畜禽产业转型升级。各乡镇要结合本区域承载能力，大力发展高标准种养结合基地，在土地资源相对紧张的地方，支持、鼓励发展立体养殖，在有限的土地资源下，增加畜禽养殖总量；依托本区域畜禽产业发展优势，培育本地畜禽养殖主导产业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落实各项扶持政策，加快恢复生猪生产，认真落实上级生猪生产保供政策，及时解决生猪复产中的问题。认真落实“五控一隔离”防控措施和屠宰环节“两项制度”，持续抓好非洲猪瘟、禽流感等重大动物疫病防控，努力实现淮阳区肉类总产量达到以前</w:t>
      </w:r>
      <w:r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5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年平均值的</w:t>
      </w:r>
      <w:r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95%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加快畜禽产业转型升级。按照“品种优良化、设施现代化、防疫规范化、粪污资源化、产品安全化”的要求，加快推进畜禽规模养殖场转型升级，继续推动创建一批高质量的畜禽标准化示范场。大型畜禽规模场要加快物联网、大数据等现代技术应用，不断提升智能化、信息化水平；中型畜禽规模场逐渐完善智能化环境控制、自动化饲喂、机械化清粪等设施设备，实现畜禽养殖提档升级；小型养殖场、家庭农场要加强防疫，提倡粪污集中收集处理，推进畜禽养殖粪污资源化利用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责任单位：区“菜篮子”工程建设领导小组成员单位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ascii="微软雅黑" w:hAnsi="宋体" w:eastAsia="微软雅黑" w:cs="宋体"/>
          <w:b/>
          <w:bCs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  <w:t>3.</w:t>
      </w: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  <w:t>规划先行，发展高效水产养殖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制定我区养殖水域滩涂规划。以我区龙湖和各乡镇坑塘改造为重点，大力推广标准化水产品绿色健康养殖模式。鼓励有条件的地方发展具有高经济效益的集养殖、垂钓、餐饮、观光等为一体的休闲渔业产业。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责任单位：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区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农业农村局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市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生态环境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局淮阳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分局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、各乡镇政府等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楷体_GB2312" w:hAnsi="宋体" w:eastAsia="楷体_GB2312" w:cs="宋体"/>
          <w:b w:val="0"/>
          <w:bCs w:val="0"/>
          <w:color w:val="auto"/>
          <w:kern w:val="0"/>
          <w:sz w:val="32"/>
          <w:szCs w:val="32"/>
        </w:rPr>
        <w:t>（二）完善市场体系，促进产销衔接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  <w:t>1.</w:t>
      </w: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  <w:t>加强对产地批发生产的建设指导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鼓励辖区蔬菜生产基地根据需要统筹规划产地批发市场，支持各乡镇开展专业蔬菜批发交易市场建设，对产地批发市场场地、道路、交易厅（棚）、冷链物流、水电、信息服务、质量检测、采后处理等基础设施建设在政策上给予支持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责任单位：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区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发改委、农业农村局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财政局、自然资源局及各乡镇政府等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  <w:t>2.</w:t>
      </w: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  <w:t>支持城区批发和农贸市场建设和升级改造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政府通过科学规划、合理布局，进一步采取多种形式支持“菜篮子”产品批发和农贸市场建设和改造，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提升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其公益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服务水平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。同时加强市场信息、质量安全检测、电子结算、冷藏保鲜、加工配送和垃圾处理等设施建设，全面推进批发市场在基础设施、管理、技术等方面升级改造，支持建立“菜篮子”产品物流和信息平台。支持中心城区基础条件较好的菜市场在场地环境、标准化摊位、追溯平台、规范管理等方面进行标准化建设，改善农贸市场经营环境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责任单位：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区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商务局、发改委、自然资源局、市场监管局、交通运输局等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  <w:t>3.</w:t>
      </w: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  <w:t>加强“菜篮子”产品零售网点建设，促进产销衔接。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合理布局“菜篮子”产品零售网点，支持城区批发市场、生鲜超市、社区便利店，农产品电商服务点等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“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菜篮子”产品零售网点建设，积极引导蔬菜种植专业合作社、蔬菜生产企业与批发市场、大型超市开展“农场对接”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“农超对接”，鼓励农民专业合作社和家庭农场在城区设立直销店、专供店，鼓励合作社开展与社区直供。鼓励发展蔬菜物流配送，支持物流配送企业直接与蔬菜基地、屠宰企业对接，为餐饮企业、超市、集体伙食单位开展配送业务，减少“菜篮子”产品中间流通环节，降低流通成本。积极落实畜禽调运政策，加强畜禽及其产品产销对接，保障畜禽正常流通，支持规模养殖场和屠宰厂“点对点”调运畜禽，保障产品供应。引导企业构建“养殖、屠宰、加工、物流”的生产模式，延长产业发展链条，增加产品附加值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责任单位：区“菜篮子”工程建设领导小组成员单位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  <w:lang w:val="en-US" w:eastAsia="zh-CN"/>
        </w:rPr>
        <w:t>4</w:t>
      </w:r>
      <w:r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  <w:t>.</w:t>
      </w: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  <w:t>建立完善信息网络和分析预警机制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推动建立区级农业综合信息服务平台，推动区级信息平台与城区批发市场、产地批发市场、流通企业、生产基地以及销售终端的互联互通。健全信息共享机制，加强信息采集、信息通道、网络中心相关基础设施建设，定期收集发布“菜篮子”产品生产、供求、质量、价格等信息。建立“菜篮子”产品市场监测预警机制，指导种养殖企业搞好生产销售，规避市场风险，建立网络产销对接平台和生产基地与社区直供信息平台系统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微软雅黑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责任单位：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区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农业农村局、商务局、市场监管局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统计局、各乡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镇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政府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楷体_GB2312" w:hAnsi="宋体" w:eastAsia="楷体_GB2312" w:cs="宋体"/>
          <w:b w:val="0"/>
          <w:bCs w:val="0"/>
          <w:color w:val="auto"/>
          <w:kern w:val="0"/>
          <w:sz w:val="32"/>
          <w:szCs w:val="32"/>
        </w:rPr>
        <w:t>（三）健全质量监管体系，提升“菜篮子”产品质量安全水平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  <w:t>1.</w:t>
      </w: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  <w:t>健全农产品质量安全检测体系。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进一步明晰农产品质量安全检验检测机构的公益性定位，结合当地农产品质量安全监管和“菜篮子”产业发展需要，加强农产品检测机构能力建设，不断拓展检测项目参数，丰富职能任务。加强对乡镇农产品质量安全检测室建设、运行条件、检测工作等方面的指导和服务，提高速检能力。支持农民合作社、农产品生产企业、农产品集中交易市场和产地市场建立农产品质量安全检测室，积极开展自检工作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  <w:t>确保“菜篮子”产品质量安全检测合格率达到检测标准。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农产品质检工作经费纳入本地财政预算，重点在抽样检测、人员培训、试剂耗材和仪器设备更新升级等方面给予必要保障，在全区尽快形成上下贯通、职能明确、运行高效、参数齐全、支撑有力的农产品质量安全检验检测体系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  <w:t>2.</w:t>
      </w: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  <w:t>抓好标准化生产。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制定完善我区“菜篮子”产品生产技术要求和操作规程，进一步加大有关生产标准的宣传推广、培训教育力度，提升农民群众质量标准意识和标准化生产能力。鼓励和支持高效农业园区、农民专业合作组织对产品档次高、市场竞争力强、经济效益好的拳头产品开展绿色食品、有机农产品、农产品地理标志和良好农业规范认证登记，提高产品质量档次，积极推进完成绿色食品原料标准化基地创建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督促“菜篮子”产品生产主体落实质量安全主体责任，每个生产基地要明确技术人员负责质量安全管控，建设并完善肉类、蔬菜规模化生产主体追溯体系，做到生产有规范、产品有标准、管理有制度、产销有凭证、全程有记录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加强对“菜篮子”产品生产基地的安全执法、巡查检查和抽样监测，指导生产主体如实开具食用农产品合格证，严厉打击违法使用禁限用农药、农兽药残留超标、不执行安全间隔期和休药期制度等违法违规行为，确保“菜篮子”产品质量安全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ascii="仿宋_GB2312" w:hAnsi="宋体" w:eastAsia="仿宋_GB2312" w:cs="宋体"/>
          <w:b/>
          <w:bCs/>
          <w:color w:val="auto"/>
          <w:kern w:val="0"/>
          <w:sz w:val="32"/>
          <w:szCs w:val="32"/>
        </w:rPr>
        <w:t>3.</w:t>
      </w:r>
      <w:r>
        <w:rPr>
          <w:rFonts w:hint="eastAsia" w:ascii="仿宋_GB2312" w:hAnsi="宋体" w:eastAsia="仿宋_GB2312" w:cs="宋体"/>
          <w:b/>
          <w:bCs/>
          <w:color w:val="auto"/>
          <w:kern w:val="0"/>
          <w:sz w:val="32"/>
          <w:szCs w:val="32"/>
        </w:rPr>
        <w:t>加大品牌培育和创建。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鼓励和支持龙头企业、农民专业合作组织对市场前景好的拳头产品积极注册商标，改进蔬菜包装，提高商品性能，加强宣传推介，扩大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淮阳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蔬菜知名度。鼓励“菜篮子”生产企业在“三品一标”等认证基础上，积极参与知名农业品牌申报，由量变到质变，力争使我区更多的区域公用品牌、农产品品牌、企业品牌入选国家、省级目录。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</w:pP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责任单位：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区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农业农村局、市场监管局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发改委、各乡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（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镇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）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政府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黑体" w:hAnsi="宋体" w:eastAsia="黑体" w:cs="宋体"/>
          <w:b w:val="0"/>
          <w:bCs w:val="0"/>
          <w:color w:val="auto"/>
          <w:kern w:val="0"/>
          <w:sz w:val="32"/>
          <w:szCs w:val="32"/>
        </w:rPr>
        <w:t>三、保障措施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楷体_GB2312" w:hAnsi="宋体" w:eastAsia="楷体_GB2312" w:cs="宋体"/>
          <w:b w:val="0"/>
          <w:bCs w:val="0"/>
          <w:color w:val="auto"/>
          <w:kern w:val="0"/>
          <w:sz w:val="32"/>
          <w:szCs w:val="32"/>
        </w:rPr>
        <w:t>（一）加强组织领导。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  <w:t>成立周口市淮阳区“菜篮子”工作领导小组，由区长任组长，主管副区长任副组长，农业农村局、发改委、财政局、自然资源局、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  <w:t>生态环境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局淮阳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eastAsia="zh-CN"/>
        </w:rPr>
        <w:t>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  <w:t>局、交通运输局、商务局、卫健委、市场监管局、统计局、金融机构等部门为成员单位，办公室设在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  <w:t>农业农村局，具体负责组织协调工作。将区“菜篮子”工作纳入地方政府年度考核目标，并对考核结果予以公布，对成效显著者给予奖励，对工作落后者通报批评。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楷体_GB2312" w:hAnsi="宋体" w:eastAsia="楷体_GB2312" w:cs="宋体"/>
          <w:b w:val="0"/>
          <w:bCs w:val="0"/>
          <w:color w:val="auto"/>
          <w:kern w:val="0"/>
          <w:sz w:val="32"/>
          <w:szCs w:val="32"/>
        </w:rPr>
        <w:t>（二）强化部门协作。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各成员单位要认真贯彻落实国务院、省政府、市政府有关要求，提高政治站位，认真履行职责，强化部门协作，形成工作合力。农业部门要搞好“菜篮子”生产基地和产地批发市场建设规划，强化技术指导和服务；发展改革部门要加强项目谋划，积极争取国家、省项目支持，制定出台扶持政策，会同有关部门，牵头制定和完善“菜篮子”应急预案；财政部门要统筹财力，科学预算，加大对“菜篮子”生产、流通环节的扶持力度；市场监管部门要搞好流通环节的指导和监管，加强市场“菜篮子”产品质量监测；商务部门要搞好市场体系建设，配合发展改革等部门建立“菜篮子”储备制度，会同农业部门搞好产销衔接工作；金融部门要牵头搞好“菜篮子”生产企业和市场建设的银企对接，积极为企业发展创造条件；统计部门要搞好“菜篮子”有关统计工作；自然资源部门要根据国家、省土地使用有关政策及文件精神，为“菜篮子”生产及市场建设提供用地服务；交通运输部门要严格执行国家鲜活农产品运输“绿色通道”政策；其他部门要结合自身工作特点，切实做好“菜篮子”工程建设服务和协调工作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ascii="微软雅黑" w:hAnsi="宋体" w:eastAsia="微软雅黑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楷体_GB2312" w:hAnsi="宋体" w:eastAsia="楷体_GB2312" w:cs="宋体"/>
          <w:b w:val="0"/>
          <w:bCs w:val="0"/>
          <w:color w:val="auto"/>
          <w:kern w:val="0"/>
          <w:sz w:val="32"/>
          <w:szCs w:val="32"/>
        </w:rPr>
        <w:t>（三）落实扶持政策</w:t>
      </w:r>
      <w:r>
        <w:rPr>
          <w:rFonts w:hint="eastAsia" w:ascii="楷体_GB2312" w:hAnsi="宋体" w:eastAsia="楷体_GB2312" w:cs="宋体"/>
          <w:b w:val="0"/>
          <w:bCs w:val="0"/>
          <w:color w:val="auto"/>
          <w:kern w:val="0"/>
          <w:sz w:val="32"/>
          <w:szCs w:val="32"/>
          <w:lang w:eastAsia="zh-CN"/>
        </w:rPr>
        <w:t>。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建立“菜篮子”工程长效扶持机制，加大资金投入，区政府每年在预算内安排一定资金，用于“菜篮子”工程建设。积极争取国家、省项目资金，扶持和壮大“菜篮子”产业发展。积极引导社会资金投入“菜篮子”产业，按照市场化运作的原则，鼓励企业、个体私营业主参与“菜篮子”工程建设。认真执行国家、省政府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、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val="en-US" w:eastAsia="zh-CN"/>
        </w:rPr>
        <w:t>市政府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有关“菜篮子”扶持政策，对“菜篮子”产品初加工和流通企业，简化增值税抵扣手续，取消不合理收费。落实批发市场用地按工业用地对待政策，批发市场用水用电价格，要严格按照国家规定的政策执行。建立蔬菜进区“绿色通道”，对于产地农民运菜车辆进入城区直销的，可以限定路段时间，允许农民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  <w:lang w:eastAsia="zh-CN"/>
        </w:rPr>
        <w:t>卖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菜车辆通行，对于进入城区批发市场的运菜车辆可以放宽通行条件。根据城区居民生活需求，增设“菜篮子”产品销售网点，鼓励在居民区设立“菜篮子”产品销售（直供）点。对于蔬菜专业合作社在生产基地建设蔬菜初加工车间、仓储等设施的，不能作为建设用地对待，不得收取相关费用。认真落实相关金融政策，积极为农民提供政策性贷款、“三农”贷款和小额贷款，贷款利率按照现有利率的最下限收取，为“菜篮子”产业健康发展提供良好的环境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楷体_GB2312" w:hAnsi="宋体" w:eastAsia="楷体_GB2312" w:cs="宋体"/>
          <w:b w:val="0"/>
          <w:bCs w:val="0"/>
          <w:color w:val="auto"/>
          <w:kern w:val="0"/>
          <w:sz w:val="32"/>
          <w:szCs w:val="32"/>
        </w:rPr>
        <w:t>（四）建立健全风险应对机制。</w:t>
      </w:r>
      <w:r>
        <w:rPr>
          <w:rFonts w:hint="eastAsia" w:ascii="仿宋_GB2312" w:hAnsi="宋体" w:eastAsia="仿宋_GB2312" w:cs="宋体"/>
          <w:b w:val="0"/>
          <w:bCs w:val="0"/>
          <w:color w:val="auto"/>
          <w:kern w:val="0"/>
          <w:sz w:val="32"/>
          <w:szCs w:val="32"/>
        </w:rPr>
        <w:t>加强“菜篮子”产品生产和供应平衡调节，稳控食品价格指数，避免总量供求失衡和价格大幅波动。建立“菜篮子”市场预警机制，加强对“菜篮子”产品供求的预警分析。制定和完善“菜篮子”产品市场供应应急预案，确保在疫情和大的自然灾害面前“菜篮子”产品产得出、运得走、供得上。建立完善“菜篮子”商品储备制度，确保市场供应稳定。建立“菜篮子”保险制度，把政策性“菜篮子”保险基金列入政府年度预算，增加保险品种，扩大“菜篮子”保险覆盖面。探索渔业风险保障机制，推动渔业保险纳入政策性农业保险范围，支持发展渔业互助保险，鼓励发展渔业商业保险。</w:t>
      </w:r>
    </w:p>
    <w:p>
      <w:pPr>
        <w:pStyle w:val="6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pacing w:line="560" w:lineRule="exact"/>
        <w:jc w:val="both"/>
        <w:textAlignment w:val="auto"/>
        <w:rPr>
          <w:rFonts w:hint="eastAsia"/>
          <w:lang w:val="en-US" w:eastAsia="zh-CN"/>
        </w:rPr>
      </w:pPr>
    </w:p>
    <w:p>
      <w:pPr>
        <w:pStyle w:val="7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pacing w:line="560" w:lineRule="exact"/>
        <w:jc w:val="both"/>
        <w:textAlignment w:val="auto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kern w:val="0"/>
          <w:sz w:val="32"/>
          <w:szCs w:val="32"/>
          <w:lang w:val="en-US" w:eastAsia="zh-CN"/>
        </w:rPr>
        <w:t>附件：1.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sz w:val="32"/>
          <w:szCs w:val="32"/>
        </w:rPr>
        <w:t>周口市淮阳区“菜篮子”工作领导小组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sz w:val="32"/>
          <w:szCs w:val="32"/>
          <w:lang w:eastAsia="zh-CN"/>
        </w:rPr>
        <w:t>成员名单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1400" w:firstLineChars="5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-20"/>
          <w:kern w:val="0"/>
          <w:sz w:val="32"/>
          <w:szCs w:val="32"/>
          <w:lang w:val="en-US" w:eastAsia="zh-CN"/>
        </w:rPr>
        <w:t>2.周口市淮阳区“菜篮子”工作责任制考核办法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jc w:val="righ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2021年7月18日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（此件主动公开）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both"/>
        <w:textAlignment w:val="auto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val="en-US" w:eastAsia="zh-CN"/>
        </w:rPr>
        <w:t>1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40" w:lineRule="exact"/>
        <w:textAlignment w:val="auto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</w:rPr>
        <w:t>周口市淮阳区“菜篮子”工作领导小组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eastAsia="zh-CN"/>
        </w:rPr>
        <w:t>成员名单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textAlignment w:val="auto"/>
        <w:outlineLvl w:val="9"/>
        <w:rPr>
          <w:rFonts w:hint="eastAsia"/>
          <w:color w:val="auto"/>
          <w:lang w:val="en-US" w:eastAsia="zh-CN"/>
        </w:rPr>
      </w:pPr>
      <w:r>
        <w:rPr>
          <w:rFonts w:hint="eastAsia"/>
          <w:color w:val="auto"/>
          <w:lang w:val="en-US" w:eastAsia="zh-CN"/>
        </w:rPr>
        <w:t xml:space="preserve">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为切实加强对全区“菜篮子”工作的组织领导，经区政府同意，决定成立周口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淮阳区“菜篮子”工作领导小组。现将领导小组成员名单通知如下：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长：王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献超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  区政府区长</w:t>
      </w:r>
    </w:p>
    <w:p>
      <w:pPr>
        <w:keepNext w:val="0"/>
        <w:keepLines w:val="0"/>
        <w:pageBreakBefore w:val="0"/>
        <w:widowControl w:val="0"/>
        <w:tabs>
          <w:tab w:val="left" w:pos="315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副组长：黄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河 区政府副区长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成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员：</w:t>
      </w:r>
      <w:r>
        <w:rPr>
          <w:rFonts w:hint="eastAsia" w:ascii="仿宋_GB2312" w:hAnsi="仿宋_GB2312" w:eastAsia="仿宋_GB2312" w:cs="仿宋_GB2312"/>
          <w:color w:val="auto"/>
          <w:w w:val="95"/>
          <w:sz w:val="32"/>
          <w:szCs w:val="32"/>
          <w:lang w:eastAsia="zh-CN"/>
        </w:rPr>
        <w:t>刘华东</w:t>
      </w:r>
      <w:r>
        <w:rPr>
          <w:rFonts w:hint="eastAsia" w:ascii="仿宋_GB2312" w:hAnsi="仿宋_GB2312" w:eastAsia="仿宋_GB2312" w:cs="仿宋_GB2312"/>
          <w:color w:val="auto"/>
          <w:w w:val="95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pacing w:val="-20"/>
          <w:w w:val="95"/>
          <w:sz w:val="32"/>
          <w:szCs w:val="32"/>
          <w:lang w:val="en-US" w:eastAsia="zh-CN"/>
        </w:rPr>
        <w:t>区政府办公室副主任、区金融工作局局长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1929" w:firstLineChars="603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郑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允  区农业农村局局长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郑  伟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区发改委主任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张  伟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区财政局局长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王艳丽 区民政局局长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李  成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区自然资源局局长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耿保勇 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生态环境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局淮阳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分局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康  宏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区交通运输局局长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张  丽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区水利局局长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区商务局局长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赵东丽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区卫健委主任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黄文华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区市场监管局局长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张永华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区统计局局长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秦修俊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区粮食和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物质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储备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田  野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农发行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淮阳支行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行长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朱明霞 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国家统计局淮阳区调查队队长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3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化要杰 区产业集聚区管委会副主任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王振刚 柳湖街道办事处主任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1920" w:firstLineChars="6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刘  翔 原种场党委书记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1920" w:firstLineChars="6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何东风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新站镇政府镇长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魏  贺 朱集乡政府乡长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杨清宇 豆门乡政府乡长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朱焕梅 鲁台镇政府镇长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胡蕴慧 冯塘乡政府乡长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李刘艳 刘振屯乡政府乡长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姚卫峰 王店乡政府乡长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轩卫华 大连乡政府乡长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张  罡 葛店乡政府乡长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梁显伟 城关镇政府镇长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辛  磊 黄集乡政府乡长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王  林 四通镇政府镇长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张  猛 临蔡镇政府镇长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马  丽 安岭镇政府镇长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刘全智 白楼镇政府镇长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郭  强 齐老乡政府乡长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王庆峰 曹河乡政府乡长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1920" w:firstLineChars="6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牛盈盈 郑集乡政府乡长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    王  宇 区农场场长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4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领导小组下设办公室，办公室设在区农业农村局，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郑允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同志兼任办公室主任。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4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4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4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pStyle w:val="3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pStyle w:val="3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pStyle w:val="3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仿宋_GB2312" w:hAnsi="仿宋_GB2312" w:eastAsia="仿宋_GB2312" w:cs="仿宋_GB2312"/>
          <w:b/>
          <w:bCs/>
          <w:w w:val="9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黑体" w:hAnsi="黑体" w:eastAsia="黑体" w:cs="黑体"/>
          <w:b w:val="0"/>
          <w:bCs w:val="0"/>
          <w:w w:val="9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w w:val="90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b w:val="0"/>
          <w:bCs w:val="0"/>
          <w:w w:val="90"/>
          <w:sz w:val="32"/>
          <w:szCs w:val="32"/>
          <w:lang w:val="en-US" w:eastAsia="zh-CN"/>
        </w:rPr>
        <w:t>2</w:t>
      </w:r>
    </w:p>
    <w:p>
      <w:pPr>
        <w:pStyle w:val="3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40" w:lineRule="exact"/>
        <w:textAlignment w:val="auto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w w:val="9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w w:val="90"/>
          <w:sz w:val="44"/>
          <w:szCs w:val="44"/>
          <w:lang w:eastAsia="zh-CN"/>
        </w:rPr>
        <w:t>周口市淮阳区“菜篮子”工作责任制考核办法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textAlignment w:val="auto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第一章总则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第一条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为贯彻落实“菜篮子”责任制，根据《周口市人民政府办公室关于印发周口市“菜篮子”工作责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制考核办法的通知》（周政办〔20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〕4号）精神，结合我区实际，制定本考核办法。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本考核办法适用于考核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各乡（镇、场）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各相关单位“菜篮子”工作责任制落实情况。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第三条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考核工作在区政府统一领导下，由区农业农村局牵头，会同区发改委、财政局、自然资源局、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生态环境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局淮阳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分局、交通运输局、商务局、卫健委、民政局、市场监管局、统计局、国家统计局淮阳调查队等成员单位组织实施。区农业农村局承担考核日常工作。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第四条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考核工作坚持重点考核与全面推进相结合、自评自查与综合评定相结合、过程监管与结果考评相结合、定量评价与定性评估相结合的原则。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考核对象为</w:t>
      </w:r>
      <w:r>
        <w:rPr>
          <w:rFonts w:hint="eastAsia" w:ascii="仿宋_GB2312" w:hAnsi="仿宋_GB2312" w:eastAsia="仿宋_GB2312" w:cs="仿宋_GB2312"/>
          <w:sz w:val="32"/>
          <w:szCs w:val="32"/>
        </w:rPr>
        <w:t>区“菜篮子”工作领导小组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成员单位和各乡（镇）政府，各成员单位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乡（镇）政府主要负责人对本辖区本部门“菜篮子”工作负总责。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第六条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考核内容包括组织制度建设、生产能力、市场流通能力、质量安全监管能力、调控保障能力等五个方面。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（一）组织制度建设考核组织领导机构设立、制订“菜篮子”工作政策措施等。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（二）生产能力考核蔬菜播种面积、产量和肉类产量等。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（三）市场流通能力考核批发市场规划布局、建设和零售网点密度等。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（四）质量安全监管能力考核“菜篮子”产品质量安全监管情况、质量安全水平和追溯体系建设等。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（五）调控保障能力考核“菜篮子”工程调控政策、价格涨幅、应急制度建设、管理体系建设、信息监测预警与发布平台建设等。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第七条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考核工作采取年度考核形式，每一年为一个考核期。首个考核期为2021年1月1日至2021年12月31日。每个考核期次年，安排部署上一考核期的考核工作。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第八条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考核程序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（一）安排部署。每年2月份，区政府下发考核通知，对上一考核期的考核工作进行部署，提出具体要求。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（二）自查自评。乡（镇）政府和各成员单位对考核期内“菜篮子”工作责任制落实情况进行全面总结和自评，形成自评报告，于4月底前经本乡镇、本单位主要负责同志审核并盖章后报送区农业农村局。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（三）实施考核。区农业农村局协调成员单位组成若干考核组，根据本考核办法对考核对象实施公平、公正考核。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（四）综合评定。区农业农村局会同有关部门对自评报告和考核情况进行审议，确定考核结果等级，形成考核报告，于7月底前向区政府报告。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（五）结果通报。考核结果由区政府向各乡镇及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成员单位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通报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第九条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核采用评分制，满分为100分，采取“基础分+绩效分”的方式，分为优秀、良好、合格、不合格四个等级。考核得分90分以上为优秀，75分以上90分以下为良好，60分以上75分以下为合格，60分以下为不合格（以上包括本数，以下不包括本数）。考核期内发生“菜篮子”产品质量安全突发事件，响应级别达到三级及以上的，考核结果为不合格。全区按计分排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第十条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核结果作为政府主要负责人和领导班子政绩考核的内容之一。对考核结果为优秀的乡镇和单位，给予通报表扬；考核结果为不合格的，要在考核结果通报后1个月内向区政府作出书面报告，提出整改措施和时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第二章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考核细则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（一）组织制度建设（15分）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第十一条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组织领导（8分）。成立“菜篮子”工作领导组织或机构，设立办公室、配备工作人员、建立工作机制、机构运转有序，得8分；未成立领导组织或机构不得分，未设立办公室或人员配备不到位扣4分，未建立工作机制或未落实扣4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数据来源：各乡（镇）、各成员单位文件和有关资料。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第十二条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策措施（7分）。制定出台“菜篮子”工程建设指导意见（实施方案）或规划得基础分3分；创设有效的激励扶持政策或措施得绩效分3分。先进做法、成效被市级媒体报道或被市级党政部门每通报表彰1次，得绩效分0.2分；被省级及以上媒体报道或被省级及以上党政部门每通报表彰1次，得绩效分0.5分；最多加1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数据来源：乡（镇）政府、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各成员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单位文件和有关资料。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（二）生产能力（20分）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第十三条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蔬菜产量（10分）。考核年度蔬菜产量达到或超过前3年平均值的90%得基础分8分。每降低0.5个百分点扣0.5分，最多扣8分；每提高1个百分点得绩效分0.2分，最多得2分。蔬菜产量统计含食用菌，不含西甜瓜、马铃薯、草莓，也不含蔬菜加工产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数据来源：区统计局数据。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第十四条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肉类（猪肉）产量（10分）。考核年度肉类总产量以前5年平均值的95%为基准，波动幅度±0.2%以内得基础分8分。降幅超过0.2%，每降低0.1个百分点扣0.5分，最多扣8分；增幅超过0.2%，每提高0.1个百分点得绩效分0.5分，最多得2分。被考核乡镇确因农业产业结构调整需要，按照市级有关部门或区人民政府出台的畜牧养殖调整规划，如产量（或按出栏量折算）处于规划调整范围内，得基础分8分；降幅每超过1个百分点扣1分，最多扣8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数据来源：国家统计局淮阳调查队数据、自然资源局、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生态环境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局淮阳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分局等有关部门或市政府规划文件。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（三）市场流通能力（23分）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批发市场规划布局（2分）。全区对“菜篮子”产品批发市场进行科学合理规划布局，将其纳入土地利用总体规划和城市建设规划并按规划实施得基础分2分，未纳入或未按规划实施不得分。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数据来源：区政府规划文件和相关材料。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第十六条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批发市场建设（8分）。全区推荐1家“菜篮子”产品批发市场（批发市场必须取得立项、土地、规划和环评等前期手续）作为考核对象。“菜篮子”产品批发市场场地布局合理，交易厅（棚）、冷藏保鲜、环保消防等设施齐全得基础分2分。对无法提供产地证明、购货凭证、合格证明文件的食用农产品，市场开办者自行或委托进行抽样检验或者快速检验得基础分2分。市场管理规范，配备专职食品安全管理人员，建立健全食用农产品安全管理制度得基础分2分。批发市场具有公益性功能得绩效分2分。（公益性功能主要是指蔬菜、肉类批发价格应低于当地物价主管部门监测价格10%左右，政府通过投资入股、公建配套、资金支持等多种方式参与“菜篮子”产品批发市场的建设和改造。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数据来源：区政府及发改委、自然资源局、市场监管局、商务局、交通运输局等有关部门文件和批发市场相关证明材料。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第十七条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零售网点密度（4分）。每个行政社区平均建有2个“菜篮子”产品零售网点得基础分2分，低于2个不得分。平均每增加1个零售网点得绩效分1分，最多得2分。“菜篮子”产品零售网点包括生鲜超市、农贸市场（集市）、菜市场（含早、晚市）、社区菜店、农产品电商体验店、平价商店、蔬菜社区直通车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数据来源：区政府及财政局、市场监管局等有关部门文件或材料、工商登记。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第十八条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品牌建设（9分）。积极组织参加省、市统一组织的年度涉农展会，宣传推介本地品牌农产品得基础分2分，获得最佳组织奖得绩效分0.5分、优秀组织奖得绩效分0.2分，参展产品获组委会金奖得绩效分0.5分，最多加1分。全区“三品一标”产品新申报数量完成市下达的任务量得基本分2分；未完成的，按照完成任务量同比例算分；超过任务量的，每增加1个，得绩效分0.5分，最多加1分；完成全国绿色食品原料标准化生产基地创建得绩效分1分；本项最多得3分。认真组织参与《河南省知名农业品牌目录》遴选修订工作得基础分1分，每获得一个全国性评定的农业品牌得绩效分1分，每获得一个省级评定的农产品区域公用品牌得绩效分1分、农业企业品牌得绩效分0.4分、农产品品牌得绩效分0.2分，设有品牌建设专项资金得绩效分1分，最多得3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数据来源：省、市各成员单位和相关涉农展会组委会的文件材料。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（四）质量安全监管能力（22分）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第十九条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菜篮子”产品质量安全监管（8分）。落实地方政府属地管理责任得基础分1分，在力量配备、条件保障等方面加大支持力度得基础分1分，全面推进标准化生产得基础分1分，建立完善农产品质量安全监管制度得基础分1分，每项未做到不得分。加强农产品质量安全执法监管，每年积极协助区农产品质量安全执法监督抽查2次得基础分1分，没有协助不得分，少协助1次或查出问题未处理各扣0.5分；每增加1次县级农产品质量安全执法监督抽查得绩效分0.5分，最多加1分。强化检打联动机制，监督抽查中每发现1例使用禁用物质的不合格产品并跟进开展执法得绩效分0.2分，最多得1分。获得国家、省级食品安全示范县或获得国家、省级农产品质量安全示范县，得绩效分1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数据来源：区政府及市场监管局、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生态环境局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淮阳分局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、卫健委等有关部门文件或材料。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第二十条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菜篮子”产品质量安全水平（8分）。考核年度蔬菜、水果、畜禽产品、水产品质量安全监测总体合格率平均值达到或超过97%得基础分6分。每降低0.1个百分点扣0.2分，最多扣6分；每提高0.1个百分点得绩效分0.1分，最多加2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数据来源：国家、省、市、区例行监测（风险监测）相关数据。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第二十一条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肉类蔬菜追溯体系建设情况（4分）。辖区内蔬菜规模化生产主体建设追溯点并能够稳定运行，覆盖率每1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百分点得0.04分，最多得2分；规模化以上畜牧养殖企业纳入当地追溯体系平台，覆盖率每1个百分点得0.04分，最多得2分。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数据来源：区政府及市场监管局、农业农村局、商务局等有关部门文件或材料。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第二十二条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重点疫情应急处置（2分）。考核期内建立重大疫情应急处置预案得基础分1.5分；预案制定科学合理、措施具体有力得绩效分0.5分；预案制定不合理、措施不具体的，在基础分上扣0.5分。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数据来源：区政府及农业农村局、市场监管局等有关部门文件或材料。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（五）调控保障能力（20分）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第二十三条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菜篮子”工程调控政策（8分）。制定实施“菜篮子”产品生产扶持、市场流通、消费者补贴、应急调控预案等方面政策的情况。生产扶持政策指支持“菜篮子”产品生产基础设施建设、技术推广、新型职业农民培育、政策性保险、生产者补贴等方面的政策；市场流通政策指支持流通基础设施建设、流通环节企业扶持培育、促进产销对接等政策；消费者补贴政策指当价格过高时实施减免进场费、发放低收入人群补贴等政策；应急调控预案指区政府制定的“‘菜篮子’产品市场供求应急调控预案”。制定实施每类政策各得基础分2分，未制定或制定未落实不得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数据来源：区政府及发改委、民政局、财政局、商务局、交通运输局、自然资源局、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生态环境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局淮阳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分局等有关部门文件或材料。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第二十四条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“菜篮子”价格稳控（8分）。根据考核年度城市居民消费价格指数（CPI）中的食品价格指数，对各乡镇“菜篮子”价格指数从低到高进行排名，排名结果同比例计算得分，排名第一得8分，依次递减0.5分。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数据来源：区政府及发改委、农业农村局、商务局、统计局和国家统计局调查队等有关部门文件。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第二十五条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信息监测预警体系和信息发布平台建设（4分）。根据本区域“菜篮子”产品产销实际情况，建立蔬菜、水果、肉、蛋、奶、水产品等主要“菜篮子”产品信息监测预警队伍，构建监测指标体系得基础分3分，未建立不得分；建立信息发布平台，开展信息采集、分析和发布得绩效分1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数据来源：区政府及发改委、商务局、农业农村局等有关部门文件、工作报告或记录。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 xml:space="preserve">    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（六）否决项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第二十六条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否决项。考核期内发生“菜篮子”产品质量安全突发事件，响应级别达到三级及以上的，该次考核结果评定为不合格。“菜篮子”产品质量安全突发事件等级界定参照农业部《农产品质量安全突发事件应急预案》（农质发〔2014〕4号）有关规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第三章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附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第二十七条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区直相关部门要按职责分工，做好上下协调沟通，确保全面完成各项考核指标任务。如某考核项未完成指标任务，则负责该项的区直牵头部门及配合部门要向区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政府呈报书面报告。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第二十八条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考核涉及的有关数据以统计部门公布的数据为准；没有统计数据的，以有关主管部门认定的数据为准。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第二十九条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考核对象要对所提供的有关文件和资料的真实性负责。对在考核中弄虚作假的，经调查核实后取消考核成绩并在全区通报批评，对直接责任人依法依规追究责任。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sectPr>
          <w:footerReference r:id="rId3" w:type="default"/>
          <w:pgSz w:w="11906" w:h="16838"/>
          <w:pgMar w:top="1440" w:right="1800" w:bottom="1440" w:left="1800" w:header="851" w:footer="992" w:gutter="0"/>
          <w:pgNumType w:fmt="decimal"/>
          <w:cols w:space="720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第三十条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本考核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办法由区“菜篮子”工作领导组办公室负责解释，自发布之日起施行。</w:t>
      </w:r>
    </w:p>
    <w:p>
      <w:pPr>
        <w:jc w:val="left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附表：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周口市淮阳区“菜篮子”工作责任制考核表</w:t>
      </w:r>
    </w:p>
    <w:tbl>
      <w:tblPr>
        <w:tblStyle w:val="9"/>
        <w:tblpPr w:leftFromText="180" w:rightFromText="180" w:vertAnchor="text" w:horzAnchor="page" w:tblpX="1463" w:tblpY="340"/>
        <w:tblOverlap w:val="never"/>
        <w:tblW w:w="14151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9"/>
        <w:gridCol w:w="1256"/>
        <w:gridCol w:w="6330"/>
        <w:gridCol w:w="690"/>
        <w:gridCol w:w="1155"/>
        <w:gridCol w:w="1464"/>
        <w:gridCol w:w="156"/>
        <w:gridCol w:w="870"/>
        <w:gridCol w:w="1159"/>
        <w:gridCol w:w="1"/>
        <w:gridCol w:w="1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069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一级指标</w:t>
            </w:r>
          </w:p>
        </w:tc>
        <w:tc>
          <w:tcPr>
            <w:tcW w:w="1256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二级指标</w:t>
            </w:r>
          </w:p>
        </w:tc>
        <w:tc>
          <w:tcPr>
            <w:tcW w:w="6330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考核内容</w:t>
            </w:r>
          </w:p>
        </w:tc>
        <w:tc>
          <w:tcPr>
            <w:tcW w:w="690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分值</w:t>
            </w:r>
          </w:p>
        </w:tc>
        <w:tc>
          <w:tcPr>
            <w:tcW w:w="261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考核部门</w:t>
            </w:r>
          </w:p>
        </w:tc>
        <w:tc>
          <w:tcPr>
            <w:tcW w:w="1026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得分</w:t>
            </w:r>
          </w:p>
        </w:tc>
        <w:tc>
          <w:tcPr>
            <w:tcW w:w="1161" w:type="dxa"/>
            <w:gridSpan w:val="3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1069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90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牵头部门</w:t>
            </w:r>
          </w:p>
        </w:tc>
        <w:tc>
          <w:tcPr>
            <w:tcW w:w="146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配合部门</w:t>
            </w:r>
          </w:p>
        </w:tc>
        <w:tc>
          <w:tcPr>
            <w:tcW w:w="1026" w:type="dxa"/>
            <w:gridSpan w:val="2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161" w:type="dxa"/>
            <w:gridSpan w:val="3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扣分原因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1069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组织制度建设（15分）</w:t>
            </w:r>
          </w:p>
        </w:tc>
        <w:tc>
          <w:tcPr>
            <w:tcW w:w="12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组织领导（8分）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pStyle w:val="3"/>
              <w:widowControl w:val="0"/>
              <w:wordWrap/>
              <w:adjustRightInd/>
              <w:snapToGrid/>
              <w:spacing w:before="0" w:after="120" w:line="24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成立区“菜篮子”工作领导组织或机构，设立办公室、配备工作人员、建立工作机制，机构运转有序，得8分；未成立领导组织或机构不得分，未设立办公室或人员配备不到位扣4分，未建立工作机制或未落实扣4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8分</w:t>
            </w:r>
          </w:p>
        </w:tc>
        <w:tc>
          <w:tcPr>
            <w:tcW w:w="1155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</w:t>
            </w:r>
          </w:p>
        </w:tc>
        <w:tc>
          <w:tcPr>
            <w:tcW w:w="146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各成员单位</w:t>
            </w:r>
          </w:p>
        </w:tc>
        <w:tc>
          <w:tcPr>
            <w:tcW w:w="1026" w:type="dxa"/>
            <w:gridSpan w:val="2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6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20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256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政策措施（7分）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制定出台“菜篮子”工程建设指导意见（实施方案）或规划得3分。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3分</w:t>
            </w:r>
          </w:p>
        </w:tc>
        <w:tc>
          <w:tcPr>
            <w:tcW w:w="1155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各成员单位</w:t>
            </w:r>
          </w:p>
        </w:tc>
        <w:tc>
          <w:tcPr>
            <w:tcW w:w="1026" w:type="dxa"/>
            <w:gridSpan w:val="2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402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创设有效的激励扶持政策或措施得绩效分3分。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3分</w:t>
            </w:r>
          </w:p>
        </w:tc>
        <w:tc>
          <w:tcPr>
            <w:tcW w:w="1155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各成员单位</w:t>
            </w:r>
          </w:p>
        </w:tc>
        <w:tc>
          <w:tcPr>
            <w:tcW w:w="1026" w:type="dxa"/>
            <w:gridSpan w:val="2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90" w:hRule="atLeast"/>
        </w:trPr>
        <w:tc>
          <w:tcPr>
            <w:tcW w:w="1069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000000"/>
                <w:kern w:val="2"/>
                <w:sz w:val="21"/>
                <w:szCs w:val="21"/>
                <w:lang w:val="en-US" w:eastAsia="zh-CN" w:bidi="ar-SA"/>
              </w:rPr>
              <w:t>县级的先进做法、成效被市级媒体报道或被市级党政部门通报表彰1次，得绩效分0.2分；被省级及以上媒体报道或被省级及以上党政部门通报表彰1次，得绩效分0.5分；最多加1分。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1分</w:t>
            </w:r>
          </w:p>
        </w:tc>
        <w:tc>
          <w:tcPr>
            <w:tcW w:w="1155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各成员单位</w:t>
            </w:r>
          </w:p>
        </w:tc>
        <w:tc>
          <w:tcPr>
            <w:tcW w:w="1026" w:type="dxa"/>
            <w:gridSpan w:val="2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16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105" w:hRule="atLeast"/>
        </w:trPr>
        <w:tc>
          <w:tcPr>
            <w:tcW w:w="1069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生产能力（20分）</w:t>
            </w:r>
          </w:p>
        </w:tc>
        <w:tc>
          <w:tcPr>
            <w:tcW w:w="12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蔬菜产量（10分）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年度蔬菜产量达到或超过前3年平均值的90%得基础分8分。每降低0.5个百分点扣0.5分，最多扣8分；每提高1个百分点得绩效分0.2分，最多得2分。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10分</w:t>
            </w:r>
          </w:p>
        </w:tc>
        <w:tc>
          <w:tcPr>
            <w:tcW w:w="1155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</w:t>
            </w:r>
          </w:p>
        </w:tc>
        <w:tc>
          <w:tcPr>
            <w:tcW w:w="146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区统计局</w:t>
            </w:r>
          </w:p>
        </w:tc>
        <w:tc>
          <w:tcPr>
            <w:tcW w:w="10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2487" w:hRule="atLeast"/>
        </w:trPr>
        <w:tc>
          <w:tcPr>
            <w:tcW w:w="1069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256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肉类（猪肉）产量（10分）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年度肉类总产量以前5年平均值的95%为基准，波动幅度±0.2%以内得基础分8分。降幅超过0.2%，每降低0.1个百分点扣0.5分，最多扣8分；增幅超过0.2%，每提高0.1个百分点得绩效分0.5分，最多得2分。被考核县（市、区）确因农业产业结构调整需要，按照市级有关部门或县（市、区）人民政府出台的畜牧养殖调整规划，如产量（或按出栏量折算）处于规划调整范围内，得基础分8分；降幅每超过1个百分点扣1分，最多扣8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10分</w:t>
            </w:r>
          </w:p>
        </w:tc>
        <w:tc>
          <w:tcPr>
            <w:tcW w:w="1155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464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区统计局</w:t>
            </w:r>
          </w:p>
        </w:tc>
        <w:tc>
          <w:tcPr>
            <w:tcW w:w="102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457" w:hRule="atLeast"/>
        </w:trPr>
        <w:tc>
          <w:tcPr>
            <w:tcW w:w="106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一级指标</w:t>
            </w:r>
          </w:p>
        </w:tc>
        <w:tc>
          <w:tcPr>
            <w:tcW w:w="125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二级指标</w:t>
            </w:r>
          </w:p>
        </w:tc>
        <w:tc>
          <w:tcPr>
            <w:tcW w:w="633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考核内容</w:t>
            </w:r>
          </w:p>
        </w:tc>
        <w:tc>
          <w:tcPr>
            <w:tcW w:w="69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分值</w:t>
            </w:r>
          </w:p>
        </w:tc>
        <w:tc>
          <w:tcPr>
            <w:tcW w:w="27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考核部门</w:t>
            </w:r>
          </w:p>
        </w:tc>
        <w:tc>
          <w:tcPr>
            <w:tcW w:w="87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得分</w:t>
            </w:r>
          </w:p>
        </w:tc>
        <w:tc>
          <w:tcPr>
            <w:tcW w:w="115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扣分原因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517" w:hRule="atLeast"/>
        </w:trPr>
        <w:tc>
          <w:tcPr>
            <w:tcW w:w="106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633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69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牵头部门</w:t>
            </w: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配合部门</w:t>
            </w:r>
          </w:p>
        </w:tc>
        <w:tc>
          <w:tcPr>
            <w:tcW w:w="87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15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960" w:hRule="atLeast"/>
        </w:trPr>
        <w:tc>
          <w:tcPr>
            <w:tcW w:w="1069" w:type="dxa"/>
            <w:vMerge w:val="restart"/>
            <w:tcBorders>
              <w:top w:val="single" w:color="auto" w:sz="4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市场流通能力（23分）</w:t>
            </w:r>
          </w:p>
        </w:tc>
        <w:tc>
          <w:tcPr>
            <w:tcW w:w="125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批发市场规划布局（2分）</w:t>
            </w:r>
          </w:p>
        </w:tc>
        <w:tc>
          <w:tcPr>
            <w:tcW w:w="633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“菜篮子”产品批发（农贸）市场规划布局科学合理，纳入国土空间规划（土地利用规划、城乡规划）并按规划实施得基础分2分，未纳入或未按规划实施不得分。</w:t>
            </w: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9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2分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区商务局</w:t>
            </w: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区发展改革委区自然资源局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768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批发（农贸）市场场地布局合理，交易厅（棚）、冷藏保鲜、环保消防等设施齐全得基础分2分。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区商务局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区市场监管局区农业农村局区交通运输局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745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对无法提供产地证明、购货凭证、合格证明文件的食用农产品，市场开办者自行或委托进行抽样检验或者快速检测得基础分2分。</w:t>
            </w: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区市场监管局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区商务局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375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批发市场建设（8分）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市场管理规范得基础分2分。</w:t>
            </w: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区商务局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区市场监管局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375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具有公益性功能得绩效分2分。</w:t>
            </w: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区发展改革委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2708" w:hRule="atLeast"/>
        </w:trPr>
        <w:tc>
          <w:tcPr>
            <w:tcW w:w="1069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零售网点密度（4分）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本县（市、区）每个行政社区平均建有2个“菜篮子”产品零售网点得基础分2分，低于2个不得分；平均每增加1个零售网点得绩效分1分，最多得2分。</w:t>
            </w: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pStyle w:val="3"/>
              <w:rPr>
                <w:rFonts w:hint="eastAsia" w:ascii="仿宋" w:hAnsi="仿宋" w:eastAsia="仿宋" w:cs="仿宋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4分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区商务局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区财政局    区市场监管局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487" w:hRule="atLeast"/>
        </w:trPr>
        <w:tc>
          <w:tcPr>
            <w:tcW w:w="106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一级指标</w:t>
            </w:r>
          </w:p>
        </w:tc>
        <w:tc>
          <w:tcPr>
            <w:tcW w:w="125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二级指标</w:t>
            </w:r>
          </w:p>
        </w:tc>
        <w:tc>
          <w:tcPr>
            <w:tcW w:w="6330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考核内容</w:t>
            </w:r>
          </w:p>
        </w:tc>
        <w:tc>
          <w:tcPr>
            <w:tcW w:w="690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分值</w:t>
            </w:r>
          </w:p>
        </w:tc>
        <w:tc>
          <w:tcPr>
            <w:tcW w:w="277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考核部门</w:t>
            </w:r>
          </w:p>
        </w:tc>
        <w:tc>
          <w:tcPr>
            <w:tcW w:w="870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得分</w:t>
            </w:r>
          </w:p>
        </w:tc>
        <w:tc>
          <w:tcPr>
            <w:tcW w:w="1159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扣分原因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502" w:hRule="atLeast"/>
        </w:trPr>
        <w:tc>
          <w:tcPr>
            <w:tcW w:w="106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256" w:type="dxa"/>
            <w:vMerge w:val="continue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6330" w:type="dxa"/>
            <w:vMerge w:val="continue"/>
            <w:tcBorders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690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牵头部门</w:t>
            </w: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配合部门</w:t>
            </w:r>
          </w:p>
        </w:tc>
        <w:tc>
          <w:tcPr>
            <w:tcW w:w="870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1159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310" w:hRule="atLeast"/>
        </w:trPr>
        <w:tc>
          <w:tcPr>
            <w:tcW w:w="1069" w:type="dxa"/>
            <w:vMerge w:val="restart"/>
            <w:tcBorders>
              <w:top w:val="single" w:color="auto" w:sz="4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市场流通能力（23分）</w:t>
            </w:r>
          </w:p>
        </w:tc>
        <w:tc>
          <w:tcPr>
            <w:tcW w:w="1256" w:type="dxa"/>
            <w:vMerge w:val="restart"/>
            <w:tcBorders>
              <w:top w:val="single" w:color="auto" w:sz="4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品牌建设（9分）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积极组织参加省、市统一组织的年度涉农展会，宣传推介本地品牌农产品得基础分2分，获得最佳组织奖得绩效分0.5分、优秀组织奖得绩效分0.2分，参展产品荣获组委会金奖得绩效分0.5分，最多得3分。</w:t>
            </w: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3分</w:t>
            </w:r>
          </w:p>
        </w:tc>
        <w:tc>
          <w:tcPr>
            <w:tcW w:w="1155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各成员单位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260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被考核县（市、区）“三品一标”产品新申报数量完成市下达的任务量得基本分2分；未完成的，按照完成任务量同比例算分；超过任务量的，每增加1个，得绩效分0.5分，最多加1分；完成全国绿色食品原料标准化生产基地创建得绩效分1分；最多得3分。</w:t>
            </w: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3分</w:t>
            </w:r>
          </w:p>
        </w:tc>
        <w:tc>
          <w:tcPr>
            <w:tcW w:w="1155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各成员单位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710" w:hRule="atLeast"/>
        </w:trPr>
        <w:tc>
          <w:tcPr>
            <w:tcW w:w="1069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认真组织参与《河南省知名农业品牌目录》遴选修订工作得基础分1分，每获得一个全国性评定的农业品牌得绩效分1分，每获得一个省级评定的农产品区域公用品牌得绩效分1分、农业企业品牌得绩效分0.4分、农产品品牌得绩效分0.2分，设有品牌建设专项资金得绩效分1分，最多得3分。</w:t>
            </w: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3分</w:t>
            </w:r>
          </w:p>
        </w:tc>
        <w:tc>
          <w:tcPr>
            <w:tcW w:w="1155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各成员单位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500" w:hRule="atLeast"/>
        </w:trPr>
        <w:tc>
          <w:tcPr>
            <w:tcW w:w="1069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质量安全监管能力（22分）</w:t>
            </w:r>
          </w:p>
        </w:tc>
        <w:tc>
          <w:tcPr>
            <w:tcW w:w="1256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“菜篮子”产品质量全监管（8分）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落实地方政府属地管理责任得基础分1分。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1分</w:t>
            </w:r>
          </w:p>
        </w:tc>
        <w:tc>
          <w:tcPr>
            <w:tcW w:w="1155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区市场监管局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460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在力量配备、条件保障等方面加大支持力度得基础分1分。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1分</w:t>
            </w:r>
          </w:p>
        </w:tc>
        <w:tc>
          <w:tcPr>
            <w:tcW w:w="1155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市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生态环境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局淮阳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分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964" w:hRule="atLeast"/>
        </w:trPr>
        <w:tc>
          <w:tcPr>
            <w:tcW w:w="1069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全面推进标准化生产得基础分1分。</w:t>
            </w: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</w:rPr>
            </w:pPr>
          </w:p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</w:rPr>
            </w:pPr>
          </w:p>
          <w:p>
            <w:pPr>
              <w:pStyle w:val="3"/>
              <w:rPr>
                <w:rFonts w:hint="eastAsia" w:ascii="仿宋" w:hAnsi="仿宋" w:eastAsia="仿宋" w:cs="仿宋"/>
              </w:rPr>
            </w:pP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1分</w:t>
            </w:r>
          </w:p>
        </w:tc>
        <w:tc>
          <w:tcPr>
            <w:tcW w:w="1155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区市场监管局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544" w:hRule="atLeast"/>
        </w:trPr>
        <w:tc>
          <w:tcPr>
            <w:tcW w:w="106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一级指标</w:t>
            </w:r>
          </w:p>
        </w:tc>
        <w:tc>
          <w:tcPr>
            <w:tcW w:w="125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二级指标</w:t>
            </w:r>
          </w:p>
        </w:tc>
        <w:tc>
          <w:tcPr>
            <w:tcW w:w="633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考核内容</w:t>
            </w:r>
          </w:p>
        </w:tc>
        <w:tc>
          <w:tcPr>
            <w:tcW w:w="69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分值</w:t>
            </w:r>
          </w:p>
        </w:tc>
        <w:tc>
          <w:tcPr>
            <w:tcW w:w="27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考核部门</w:t>
            </w:r>
          </w:p>
        </w:tc>
        <w:tc>
          <w:tcPr>
            <w:tcW w:w="87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得分</w:t>
            </w:r>
          </w:p>
        </w:tc>
        <w:tc>
          <w:tcPr>
            <w:tcW w:w="115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扣分原因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534" w:hRule="atLeast"/>
        </w:trPr>
        <w:tc>
          <w:tcPr>
            <w:tcW w:w="106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633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69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牵头部门</w:t>
            </w: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lang w:eastAsia="zh-CN"/>
              </w:rPr>
            </w:pP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配合部门</w:t>
            </w:r>
          </w:p>
        </w:tc>
        <w:tc>
          <w:tcPr>
            <w:tcW w:w="87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115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070" w:hRule="atLeast"/>
        </w:trPr>
        <w:tc>
          <w:tcPr>
            <w:tcW w:w="1069" w:type="dxa"/>
            <w:vMerge w:val="restart"/>
            <w:tcBorders>
              <w:top w:val="single" w:color="auto" w:sz="4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质量安全监管能力（22分）</w:t>
            </w:r>
          </w:p>
        </w:tc>
        <w:tc>
          <w:tcPr>
            <w:tcW w:w="1256" w:type="dxa"/>
            <w:vMerge w:val="restart"/>
            <w:tcBorders>
              <w:top w:val="single" w:color="auto" w:sz="4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接上</w:t>
            </w:r>
          </w:p>
        </w:tc>
        <w:tc>
          <w:tcPr>
            <w:tcW w:w="633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建立完善农产品质量安全监管制度得基础分1分。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1分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市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生态环境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局淮阳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分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局</w:t>
            </w: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卫健委</w:t>
            </w: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区市场监管局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4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500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加强农产品质量安全执法监管，每年开展县级农产品质量安全执法监督抽查2次得基础分1分，少开展1次或查出问题未处理各扣0.5分；每增加1次得绩效分0.5分，最多得1分。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区市场监管局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125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强化检打联动机制，监督抽查中每发现1例使用禁用物质的不合格产品并跟进开展执法得绩效分0.2分，最多得1分。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870" w:type="dxa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260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获得国家、省级食品安全示范县（市、区）或获得国家、省级农产品质量安全示范县（市、区），得绩效分1分。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1分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区市场监管局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2737" w:hRule="atLeast"/>
        </w:trPr>
        <w:tc>
          <w:tcPr>
            <w:tcW w:w="1069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“菜篮子”产品质量安全水平（8分）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年度蔬菜、水果、畜禽产品、水产品质量安全监测总体合格率平均值达到或超过97%得基础分6分。每降低0.1个百分点扣0.2分，最多扣6分；每提高0.1个百分点得绩效分0.1分，最多加2分。</w:t>
            </w:r>
          </w:p>
          <w:p>
            <w:pPr>
              <w:pStyle w:val="3"/>
              <w:rPr>
                <w:rFonts w:hint="eastAsia" w:ascii="仿宋" w:hAnsi="仿宋" w:eastAsia="仿宋" w:cs="仿宋"/>
              </w:rPr>
            </w:pPr>
          </w:p>
          <w:p>
            <w:pPr>
              <w:rPr>
                <w:rFonts w:hint="eastAsia" w:ascii="仿宋" w:hAnsi="仿宋" w:eastAsia="仿宋" w:cs="仿宋"/>
              </w:rPr>
            </w:pPr>
          </w:p>
          <w:p>
            <w:pPr>
              <w:pStyle w:val="3"/>
              <w:rPr>
                <w:rFonts w:hint="eastAsia" w:ascii="仿宋" w:hAnsi="仿宋" w:eastAsia="仿宋" w:cs="仿宋"/>
              </w:rPr>
            </w:pP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8分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区市场监管局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570" w:hRule="atLeast"/>
        </w:trPr>
        <w:tc>
          <w:tcPr>
            <w:tcW w:w="106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一级指标</w:t>
            </w:r>
          </w:p>
        </w:tc>
        <w:tc>
          <w:tcPr>
            <w:tcW w:w="125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二级指标</w:t>
            </w:r>
          </w:p>
        </w:tc>
        <w:tc>
          <w:tcPr>
            <w:tcW w:w="633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考核内容</w:t>
            </w:r>
          </w:p>
        </w:tc>
        <w:tc>
          <w:tcPr>
            <w:tcW w:w="69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分值</w:t>
            </w:r>
          </w:p>
        </w:tc>
        <w:tc>
          <w:tcPr>
            <w:tcW w:w="277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考核部门</w:t>
            </w:r>
          </w:p>
        </w:tc>
        <w:tc>
          <w:tcPr>
            <w:tcW w:w="87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得分</w:t>
            </w:r>
          </w:p>
        </w:tc>
        <w:tc>
          <w:tcPr>
            <w:tcW w:w="115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扣分原因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510" w:hRule="atLeast"/>
        </w:trPr>
        <w:tc>
          <w:tcPr>
            <w:tcW w:w="106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633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69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11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牵头部门</w:t>
            </w: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配合部门</w:t>
            </w:r>
          </w:p>
        </w:tc>
        <w:tc>
          <w:tcPr>
            <w:tcW w:w="87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115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290" w:hRule="atLeast"/>
        </w:trPr>
        <w:tc>
          <w:tcPr>
            <w:tcW w:w="1069" w:type="dxa"/>
            <w:vMerge w:val="restart"/>
            <w:tcBorders>
              <w:top w:val="single" w:color="auto" w:sz="4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质量安全监管能力（22分）</w:t>
            </w:r>
          </w:p>
        </w:tc>
        <w:tc>
          <w:tcPr>
            <w:tcW w:w="125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肉类蔬菜追溯体系建设情况（4分）</w:t>
            </w:r>
          </w:p>
        </w:tc>
        <w:tc>
          <w:tcPr>
            <w:tcW w:w="633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被考核县（市、区）在蔬菜规模化生产主体建设追溯点并能够顺利运行，覆盖率每1个百分点得0.04分，最多得2分；规模化以上畜牧养殖企业纳入当地追溯体系平台，覆盖率每1个百分点得0.04分，最多得2分。</w:t>
            </w:r>
          </w:p>
        </w:tc>
        <w:tc>
          <w:tcPr>
            <w:tcW w:w="69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4分</w:t>
            </w:r>
          </w:p>
        </w:tc>
        <w:tc>
          <w:tcPr>
            <w:tcW w:w="1155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</w:t>
            </w: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区市场监管局</w:t>
            </w:r>
          </w:p>
        </w:tc>
        <w:tc>
          <w:tcPr>
            <w:tcW w:w="87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925" w:hRule="atLeast"/>
        </w:trPr>
        <w:tc>
          <w:tcPr>
            <w:tcW w:w="1069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重点疫情应急处置（2分）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考核期内本县（市、区）建立重大疫情应急处置预案得基础分1.5分。预案制定科学合理，措施具体有力得绩效分0.5分；预案制定不合理、措施不具体的，在基础分上扣0.5分。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区市场监管局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625" w:hRule="atLeast"/>
        </w:trPr>
        <w:tc>
          <w:tcPr>
            <w:tcW w:w="1069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调控保障能力（20分）</w:t>
            </w:r>
          </w:p>
        </w:tc>
        <w:tc>
          <w:tcPr>
            <w:tcW w:w="1256" w:type="dxa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制定实施“菜篮子”产品生产基础设施建设、技术推广、新型职业农民培育、政策性保险、生产者补贴等生产扶持政策得基础分2分，未制定或未落实不得分。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区</w:t>
            </w:r>
            <w:r>
              <w:rPr>
                <w:rFonts w:hint="eastAsia" w:ascii="仿宋" w:hAnsi="仿宋" w:eastAsia="仿宋" w:cs="仿宋"/>
              </w:rPr>
              <w:t>发改委</w:t>
            </w:r>
          </w:p>
          <w:p>
            <w:pPr>
              <w:jc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区财政局</w:t>
            </w:r>
          </w:p>
          <w:p>
            <w:pPr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区</w:t>
            </w:r>
            <w:r>
              <w:rPr>
                <w:rFonts w:hint="eastAsia" w:ascii="仿宋" w:hAnsi="仿宋" w:eastAsia="仿宋" w:cs="仿宋"/>
              </w:rPr>
              <w:t xml:space="preserve">自然资源局      </w:t>
            </w:r>
            <w:r>
              <w:rPr>
                <w:rFonts w:hint="eastAsia" w:ascii="仿宋" w:hAnsi="仿宋" w:eastAsia="仿宋" w:cs="仿宋"/>
                <w:lang w:val="en-US" w:eastAsia="zh-CN"/>
              </w:rPr>
              <w:t>市</w:t>
            </w:r>
            <w:r>
              <w:rPr>
                <w:rFonts w:hint="eastAsia" w:ascii="仿宋" w:hAnsi="仿宋" w:eastAsia="仿宋" w:cs="仿宋"/>
              </w:rPr>
              <w:t>生态环境</w:t>
            </w:r>
            <w:r>
              <w:rPr>
                <w:rFonts w:hint="eastAsia" w:ascii="仿宋" w:hAnsi="仿宋" w:eastAsia="仿宋" w:cs="仿宋"/>
                <w:lang w:val="en-US" w:eastAsia="zh-CN"/>
              </w:rPr>
              <w:t>局淮阳</w:t>
            </w:r>
            <w:r>
              <w:rPr>
                <w:rFonts w:hint="eastAsia" w:ascii="仿宋" w:hAnsi="仿宋" w:eastAsia="仿宋" w:cs="仿宋"/>
                <w:lang w:eastAsia="zh-CN"/>
              </w:rPr>
              <w:t>分</w:t>
            </w:r>
            <w:r>
              <w:rPr>
                <w:rFonts w:hint="eastAsia" w:ascii="仿宋" w:hAnsi="仿宋" w:eastAsia="仿宋" w:cs="仿宋"/>
              </w:rPr>
              <w:t>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320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制定实施市场流通基础设施建设、流通环节企业扶持培育、促进产销对接等市场流通政策得基础分2分，未制定或未落实不得分。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区商务局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区发改委</w:t>
            </w:r>
          </w:p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区交通运输局区农业农村局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840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“菜篮子”工程调控政策（8分）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制定实施消费者补贴政策得基础分2分，未制定或未落实不得分。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区发展改革委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  区商务局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2162" w:hRule="atLeast"/>
        </w:trPr>
        <w:tc>
          <w:tcPr>
            <w:tcW w:w="1069" w:type="dxa"/>
            <w:vMerge w:val="continue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tcBorders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制定实施“菜篮子”产品市场供求应急预案得基础分2分，未制定或未落实不得分。</w:t>
            </w:r>
          </w:p>
          <w:p>
            <w:pPr>
              <w:pStyle w:val="3"/>
              <w:rPr>
                <w:rFonts w:hint="eastAsia" w:ascii="仿宋" w:hAnsi="仿宋" w:eastAsia="仿宋" w:cs="仿宋"/>
              </w:rPr>
            </w:pPr>
          </w:p>
          <w:p>
            <w:pPr>
              <w:rPr>
                <w:rFonts w:hint="eastAsia" w:ascii="仿宋" w:hAnsi="仿宋" w:eastAsia="仿宋" w:cs="仿宋"/>
              </w:rPr>
            </w:pP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2分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区商务局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各成员单位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372" w:hRule="atLeast"/>
        </w:trPr>
        <w:tc>
          <w:tcPr>
            <w:tcW w:w="106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一级指标</w:t>
            </w:r>
          </w:p>
        </w:tc>
        <w:tc>
          <w:tcPr>
            <w:tcW w:w="1256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二级指标</w:t>
            </w:r>
          </w:p>
        </w:tc>
        <w:tc>
          <w:tcPr>
            <w:tcW w:w="633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考核内容</w:t>
            </w:r>
          </w:p>
        </w:tc>
        <w:tc>
          <w:tcPr>
            <w:tcW w:w="690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分值</w:t>
            </w:r>
          </w:p>
        </w:tc>
        <w:tc>
          <w:tcPr>
            <w:tcW w:w="2775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考核部门</w:t>
            </w:r>
          </w:p>
        </w:tc>
        <w:tc>
          <w:tcPr>
            <w:tcW w:w="870" w:type="dxa"/>
            <w:vMerge w:val="restart"/>
            <w:tcBorders>
              <w:top w:val="single" w:color="auto" w:sz="6" w:space="0"/>
              <w:left w:val="single" w:color="auto" w:sz="4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得分</w:t>
            </w:r>
          </w:p>
        </w:tc>
        <w:tc>
          <w:tcPr>
            <w:tcW w:w="1159" w:type="dxa"/>
            <w:vMerge w:val="restart"/>
            <w:tcBorders>
              <w:top w:val="single" w:color="auto" w:sz="6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eastAsia="zh-CN"/>
              </w:rPr>
              <w:t>扣分原因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372" w:hRule="atLeast"/>
        </w:trPr>
        <w:tc>
          <w:tcPr>
            <w:tcW w:w="106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1256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633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690" w:type="dxa"/>
            <w:vMerge w:val="continue"/>
            <w:tcBorders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牵头部门</w:t>
            </w:r>
          </w:p>
        </w:tc>
        <w:tc>
          <w:tcPr>
            <w:tcW w:w="1620" w:type="dxa"/>
            <w:gridSpan w:val="2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lang w:eastAsia="zh-CN"/>
              </w:rPr>
            </w:pPr>
            <w:r>
              <w:rPr>
                <w:rFonts w:hint="eastAsia" w:ascii="仿宋" w:hAnsi="仿宋" w:eastAsia="仿宋" w:cs="仿宋"/>
                <w:lang w:eastAsia="zh-CN"/>
              </w:rPr>
              <w:t>配合部门</w:t>
            </w:r>
          </w:p>
        </w:tc>
        <w:tc>
          <w:tcPr>
            <w:tcW w:w="870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  <w:tc>
          <w:tcPr>
            <w:tcW w:w="1159" w:type="dxa"/>
            <w:vMerge w:val="continue"/>
            <w:tcBorders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both"/>
              <w:rPr>
                <w:rFonts w:hint="eastAsia" w:ascii="仿宋" w:hAnsi="仿宋" w:eastAsia="仿宋" w:cs="仿宋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2040" w:hRule="atLeast"/>
        </w:trPr>
        <w:tc>
          <w:tcPr>
            <w:tcW w:w="1069" w:type="dxa"/>
            <w:vMerge w:val="restart"/>
            <w:tcBorders>
              <w:top w:val="single" w:color="auto" w:sz="4" w:space="0"/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调控保障能力（20分）</w:t>
            </w:r>
          </w:p>
        </w:tc>
        <w:tc>
          <w:tcPr>
            <w:tcW w:w="1256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“菜篮子”价格稳控（8分）</w:t>
            </w:r>
          </w:p>
        </w:tc>
        <w:tc>
          <w:tcPr>
            <w:tcW w:w="6330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由市统计局、国家统计局周口调查队提出年度城市居民消费价格指数（CPI）中的食品价格指数。市发展改革委分别对各县（市、区）的“菜篮子”价格指数从低到高进行排名，排名结果同比例计算得分，排名第一得8分，依次递减0.5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8分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区发展改革委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区统计局    国家统计局  区农业农村局  区商务局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1360" w:hRule="atLeast"/>
        </w:trPr>
        <w:tc>
          <w:tcPr>
            <w:tcW w:w="1069" w:type="dxa"/>
            <w:vMerge w:val="continue"/>
            <w:tcBorders>
              <w:left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</w:p>
        </w:tc>
        <w:tc>
          <w:tcPr>
            <w:tcW w:w="12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信息监测预警体系和信息发布平台建设（4分）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建立蔬菜、水果、肉、蛋、奶、水产品等主要“菜篮子”产品信息监测预警队伍，构建监测指标体系得基础分3分，未建立不得分。</w:t>
            </w:r>
          </w:p>
          <w:p>
            <w:pPr>
              <w:pStyle w:val="3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建立信息发布平台，开展信息采集、分析和发布得绩效分1分。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  <w:lang w:val="en-US" w:eastAsia="zh-CN"/>
              </w:rPr>
              <w:t>4</w:t>
            </w: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分</w:t>
            </w: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  区商务局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2" w:type="dxa"/>
          <w:trHeight w:val="2120" w:hRule="atLeast"/>
        </w:trPr>
        <w:tc>
          <w:tcPr>
            <w:tcW w:w="106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否决项</w:t>
            </w:r>
          </w:p>
        </w:tc>
        <w:tc>
          <w:tcPr>
            <w:tcW w:w="125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“菜篮子”产品质量安全突发事件</w:t>
            </w:r>
          </w:p>
        </w:tc>
        <w:tc>
          <w:tcPr>
            <w:tcW w:w="633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考核期内发生“菜篮子”产品质量安全突发事件，响应级别达到三级及以上的，该次考核结果评定为不合格。</w:t>
            </w:r>
          </w:p>
        </w:tc>
        <w:tc>
          <w:tcPr>
            <w:tcW w:w="69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区农业农村局</w:t>
            </w:r>
          </w:p>
        </w:tc>
        <w:tc>
          <w:tcPr>
            <w:tcW w:w="162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center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000000"/>
                <w:sz w:val="21"/>
                <w:szCs w:val="21"/>
              </w:rPr>
              <w:t>各成员单位</w:t>
            </w:r>
          </w:p>
        </w:tc>
        <w:tc>
          <w:tcPr>
            <w:tcW w:w="87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  <w:tc>
          <w:tcPr>
            <w:tcW w:w="115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solid" w:color="FFFFFF" w:fill="auto"/>
            <w:vAlign w:val="top"/>
          </w:tcPr>
          <w:p>
            <w:pPr>
              <w:widowControl w:val="0"/>
              <w:autoSpaceDE w:val="0"/>
              <w:autoSpaceDN w:val="0"/>
              <w:jc w:val="center"/>
              <w:rPr>
                <w:rFonts w:hint="eastAsia" w:ascii="仿宋" w:hAnsi="仿宋" w:eastAsia="仿宋" w:cs="仿宋"/>
                <w:color w:val="333333"/>
                <w:sz w:val="21"/>
                <w:szCs w:val="21"/>
              </w:rPr>
            </w:pPr>
          </w:p>
        </w:tc>
      </w:tr>
    </w:tbl>
    <w:p>
      <w:pPr>
        <w:rPr>
          <w:rFonts w:hint="eastAsia" w:ascii="仿宋" w:hAnsi="仿宋" w:eastAsia="仿宋" w:cs="仿宋"/>
          <w:sz w:val="21"/>
          <w:szCs w:val="21"/>
        </w:rPr>
      </w:pPr>
      <w:r>
        <w:rPr>
          <w:rFonts w:hint="eastAsia" w:ascii="仿宋" w:hAnsi="仿宋" w:eastAsia="仿宋" w:cs="仿宋"/>
          <w:sz w:val="21"/>
          <w:szCs w:val="21"/>
        </w:rPr>
        <w:t>说明：1.蔬菜产量统计含食用菌，不含西甜瓜、马铃薯、草莓，也不含蔬菜加工产品。</w:t>
      </w:r>
    </w:p>
    <w:p>
      <w:pPr>
        <w:ind w:left="630" w:leftChars="300" w:firstLine="0" w:firstLineChars="0"/>
        <w:rPr>
          <w:rFonts w:hint="eastAsia" w:ascii="仿宋" w:hAnsi="仿宋" w:eastAsia="仿宋" w:cs="仿宋"/>
          <w:sz w:val="21"/>
          <w:szCs w:val="21"/>
        </w:rPr>
      </w:pPr>
      <w:r>
        <w:rPr>
          <w:rFonts w:hint="eastAsia" w:ascii="仿宋" w:hAnsi="仿宋" w:eastAsia="仿宋" w:cs="仿宋"/>
          <w:sz w:val="21"/>
          <w:szCs w:val="21"/>
        </w:rPr>
        <w:t>2.“批发市场建设”考核项由区市场监管局推荐1家“菜篮子”产品批发市场（批发市场必须取得立项、土地、规划和环评等前期手续）作为考核对象。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widowControl w:val="0"/>
        <w:wordWrap/>
        <w:adjustRightInd/>
        <w:snapToGrid/>
        <w:spacing w:before="0" w:after="0" w:line="64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28"/>
          <w:szCs w:val="28"/>
          <w:u w:val="none" w:color="auto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u w:val="none" w:color="auto"/>
          <w:lang w:val="en-US" w:eastAsia="zh-CN"/>
        </w:rPr>
        <w:t xml:space="preserve">                                                             </w:t>
      </w:r>
    </w:p>
    <w:p>
      <w:pPr>
        <w:widowControl w:val="0"/>
        <w:wordWrap/>
        <w:adjustRightInd/>
        <w:snapToGrid/>
        <w:spacing w:before="0" w:after="0" w:line="640" w:lineRule="exact"/>
        <w:ind w:left="0" w:leftChars="0" w:right="0" w:firstLine="280" w:firstLineChars="100"/>
        <w:jc w:val="both"/>
        <w:textAlignment w:val="auto"/>
        <w:outlineLvl w:val="9"/>
      </w:pPr>
      <w:r>
        <w:rPr>
          <w:sz w:val="28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-5715</wp:posOffset>
                </wp:positionH>
                <wp:positionV relativeFrom="paragraph">
                  <wp:posOffset>80645</wp:posOffset>
                </wp:positionV>
                <wp:extent cx="8869045" cy="323850"/>
                <wp:effectExtent l="0" t="6350" r="8255" b="12700"/>
                <wp:wrapNone/>
                <wp:docPr id="4" name="组合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8869045" cy="323850"/>
                          <a:chOff x="5636" y="3130"/>
                          <a:chExt cx="8766" cy="510"/>
                        </a:xfrm>
                      </wpg:grpSpPr>
                      <wps:wsp>
                        <wps:cNvPr id="3" name="直接连接符 3"/>
                        <wps:cNvCnPr/>
                        <wps:spPr>
                          <a:xfrm flipV="1">
                            <a:off x="5662" y="3130"/>
                            <a:ext cx="8740" cy="10"/>
                          </a:xfrm>
                          <a:prstGeom prst="line">
                            <a:avLst/>
                          </a:prstGeom>
                          <a:ln w="1259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  <wps:wsp>
                        <wps:cNvPr id="2" name="直接连接符 2"/>
                        <wps:cNvCnPr/>
                        <wps:spPr>
                          <a:xfrm flipV="1">
                            <a:off x="5636" y="3630"/>
                            <a:ext cx="8740" cy="10"/>
                          </a:xfrm>
                          <a:prstGeom prst="line">
                            <a:avLst/>
                          </a:prstGeom>
                          <a:ln w="12599" cap="flat" cmpd="sng">
                            <a:solidFill>
                              <a:srgbClr val="000000"/>
                            </a:solidFill>
                            <a:prstDash val="solid"/>
                            <a:headEnd type="none" w="med" len="med"/>
                            <a:tailEnd type="none" w="med" len="med"/>
                          </a:ln>
                        </wps:spPr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-0.45pt;margin-top:6.35pt;height:25.5pt;width:698.35pt;z-index:251659264;mso-width-relative:page;mso-height-relative:page;" coordorigin="5636,3130" coordsize="8766,510" o:gfxdata="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">
                <o:lock v:ext="edit" aspectratio="f"/>
                <v:line id="_x0000_s1026" o:spid="_x0000_s1026" o:spt="20" style="position:absolute;left:5662;top:3130;flip:y;height:10;width:8740;" filled="f" stroked="t" coordsize="21600,21600" o:gfxdata="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YHqQMrsAAADa&#10;AAAADwAAAAAAAAABACAAAAAiAAAAZHJzL2Rvd25yZXYueG1sUEsBAhQAFAAAAAgAh07iQDMvBZ47&#10;AAAAOQAAABAAAAAAAAAAAQAgAAAACgEAAGRycy9zaGFwZXhtbC54bWxQSwUGAAAAAAYABgBbAQAA&#10;tAMAAAAA&#10;">
                  <v:fill on="f" focussize="0,0"/>
                  <v:stroke weight="0.992047244094488pt" color="#000000" joinstyle="round"/>
                  <v:imagedata o:title=""/>
                  <o:lock v:ext="edit" aspectratio="f"/>
                </v:line>
                <v:line id="_x0000_s1026" o:spid="_x0000_s1026" o:spt="20" style="position:absolute;left:5636;top:3630;flip:y;height:10;width:8740;" filled="f" stroked="t" coordsize="21600,21600" o:gfxdata="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DzY1qbsAAADa&#10;AAAADwAAAAAAAAABACAAAAAiAAAAZHJzL2Rvd25yZXYueG1sUEsBAhQAFAAAAAgAh07iQDMvBZ47&#10;AAAAOQAAABAAAAAAAAAAAQAgAAAACgEAAGRycy9zaGFwZXhtbC54bWxQSwUGAAAAAAYABgBbAQAA&#10;tAMAAAAA&#10;">
                  <v:fill on="f" focussize="0,0"/>
                  <v:stroke weight="0.992047244094488pt" color="#000000" joinstyle="round"/>
                  <v:imagedata o:title=""/>
                  <o:lock v:ext="edit" aspectratio="f"/>
                </v:line>
              </v:group>
            </w:pict>
          </mc:Fallback>
        </mc:AlternateContent>
      </w:r>
      <w:r>
        <w:rPr>
          <w:rFonts w:hint="eastAsia" w:ascii="仿宋" w:hAnsi="仿宋" w:eastAsia="仿宋" w:cs="仿宋"/>
          <w:sz w:val="28"/>
          <w:szCs w:val="28"/>
          <w:u w:val="none" w:color="auto"/>
          <w:lang w:val="en-US" w:eastAsia="zh-CN"/>
        </w:rPr>
        <w:t>周口市淮阳区人民政府办公室                                                  2021年7月18日印发</w:t>
      </w:r>
    </w:p>
    <w:sectPr>
      <w:pgSz w:w="16838" w:h="11906" w:orient="landscape"/>
      <w:pgMar w:top="794" w:right="1440" w:bottom="1474" w:left="1440" w:header="851" w:footer="992" w:gutter="0"/>
      <w:pgNumType w:fmt="decimal"/>
      <w:cols w:space="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8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仿宋" w:hAnsi="仿宋" w:eastAsia="仿宋" w:cs="仿宋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仿宋" w:hAnsi="仿宋" w:eastAsia="仿宋" w:cs="仿宋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20"/>
  <w:bordersDoNotSurroundHeader w:val="1"/>
  <w:bordersDoNotSurroundFooter w:val="1"/>
  <w:documentProtection w:enforcement="0"/>
  <w:defaultTabStop w:val="420"/>
  <w:drawingGridVerticalSpacing w:val="159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3320B2"/>
    <w:rsid w:val="006C2DB2"/>
    <w:rsid w:val="007879BD"/>
    <w:rsid w:val="02396B90"/>
    <w:rsid w:val="049D51E5"/>
    <w:rsid w:val="05770451"/>
    <w:rsid w:val="06282AF2"/>
    <w:rsid w:val="08712FD7"/>
    <w:rsid w:val="09742379"/>
    <w:rsid w:val="0A664973"/>
    <w:rsid w:val="0B000235"/>
    <w:rsid w:val="0E2324D3"/>
    <w:rsid w:val="0F0A5A7B"/>
    <w:rsid w:val="0FA312A2"/>
    <w:rsid w:val="0FC926EA"/>
    <w:rsid w:val="10B57352"/>
    <w:rsid w:val="111668C0"/>
    <w:rsid w:val="119D16FC"/>
    <w:rsid w:val="1205575A"/>
    <w:rsid w:val="129A171D"/>
    <w:rsid w:val="12D8498E"/>
    <w:rsid w:val="12F97CC3"/>
    <w:rsid w:val="13377CF0"/>
    <w:rsid w:val="1361615C"/>
    <w:rsid w:val="14304A58"/>
    <w:rsid w:val="14987596"/>
    <w:rsid w:val="14BB60B0"/>
    <w:rsid w:val="1588367B"/>
    <w:rsid w:val="169A1A71"/>
    <w:rsid w:val="1759516F"/>
    <w:rsid w:val="176B77F1"/>
    <w:rsid w:val="189F16C8"/>
    <w:rsid w:val="18C00165"/>
    <w:rsid w:val="199426EA"/>
    <w:rsid w:val="19F1302A"/>
    <w:rsid w:val="1B0B3B56"/>
    <w:rsid w:val="1B0E146F"/>
    <w:rsid w:val="1BC96748"/>
    <w:rsid w:val="1F5C1E72"/>
    <w:rsid w:val="20250197"/>
    <w:rsid w:val="22F753A3"/>
    <w:rsid w:val="23AA36FA"/>
    <w:rsid w:val="259D0800"/>
    <w:rsid w:val="2AAF128A"/>
    <w:rsid w:val="2C111678"/>
    <w:rsid w:val="2D3D696A"/>
    <w:rsid w:val="2DA67FCA"/>
    <w:rsid w:val="2F2729FB"/>
    <w:rsid w:val="2F70521C"/>
    <w:rsid w:val="302176D2"/>
    <w:rsid w:val="32051950"/>
    <w:rsid w:val="331F1BD8"/>
    <w:rsid w:val="33A579A4"/>
    <w:rsid w:val="33AD2062"/>
    <w:rsid w:val="33C00BA2"/>
    <w:rsid w:val="35781402"/>
    <w:rsid w:val="361403E2"/>
    <w:rsid w:val="37966B47"/>
    <w:rsid w:val="37F800A7"/>
    <w:rsid w:val="388E3009"/>
    <w:rsid w:val="393C10E4"/>
    <w:rsid w:val="3B767CC7"/>
    <w:rsid w:val="3B7903F6"/>
    <w:rsid w:val="3CCC0865"/>
    <w:rsid w:val="3DAF266B"/>
    <w:rsid w:val="3E106DF6"/>
    <w:rsid w:val="3F6A4489"/>
    <w:rsid w:val="41903763"/>
    <w:rsid w:val="44AE58C9"/>
    <w:rsid w:val="44CB148B"/>
    <w:rsid w:val="47446D8E"/>
    <w:rsid w:val="49046DA7"/>
    <w:rsid w:val="49B64D5B"/>
    <w:rsid w:val="4D35672A"/>
    <w:rsid w:val="5130793E"/>
    <w:rsid w:val="51843802"/>
    <w:rsid w:val="56EB6607"/>
    <w:rsid w:val="58493BEC"/>
    <w:rsid w:val="5A237EE0"/>
    <w:rsid w:val="5A83588E"/>
    <w:rsid w:val="5AF10979"/>
    <w:rsid w:val="5B447D05"/>
    <w:rsid w:val="5B4A7259"/>
    <w:rsid w:val="5CF9325C"/>
    <w:rsid w:val="5D6D1BF5"/>
    <w:rsid w:val="5DBE7F2A"/>
    <w:rsid w:val="5F676112"/>
    <w:rsid w:val="62312CB0"/>
    <w:rsid w:val="624B1DC6"/>
    <w:rsid w:val="64BD762F"/>
    <w:rsid w:val="650B1A46"/>
    <w:rsid w:val="658E7555"/>
    <w:rsid w:val="664224BF"/>
    <w:rsid w:val="66F060F1"/>
    <w:rsid w:val="670B266E"/>
    <w:rsid w:val="68032AC1"/>
    <w:rsid w:val="68CC13ED"/>
    <w:rsid w:val="68D64DBE"/>
    <w:rsid w:val="6972071B"/>
    <w:rsid w:val="6A3A5446"/>
    <w:rsid w:val="6DEA0C1B"/>
    <w:rsid w:val="6F45341C"/>
    <w:rsid w:val="6F661ABD"/>
    <w:rsid w:val="6FE7002C"/>
    <w:rsid w:val="714F50FB"/>
    <w:rsid w:val="72670044"/>
    <w:rsid w:val="730C0062"/>
    <w:rsid w:val="73573B24"/>
    <w:rsid w:val="74421548"/>
    <w:rsid w:val="746253AB"/>
    <w:rsid w:val="766E59D5"/>
    <w:rsid w:val="7819387C"/>
    <w:rsid w:val="793468BC"/>
    <w:rsid w:val="7AD3655F"/>
    <w:rsid w:val="7BA6247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Calibr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qFormat="1" w:unhideWhenUsed="0" w:uiPriority="99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Message Header"/>
    <w:basedOn w:val="1"/>
    <w:qFormat/>
    <w:uiPriority w:val="99"/>
    <w:pPr>
      <w:pBdr>
        <w:top w:val="single" w:color="auto" w:sz="6" w:space="1"/>
        <w:left w:val="single" w:color="auto" w:sz="6" w:space="1"/>
        <w:bottom w:val="single" w:color="auto" w:sz="6" w:space="1"/>
        <w:right w:val="single" w:color="auto" w:sz="6" w:space="1"/>
      </w:pBdr>
      <w:shd w:val="pct20" w:color="auto" w:fill="auto"/>
      <w:ind w:left="1080" w:leftChars="500" w:hanging="1080" w:hangingChars="500"/>
    </w:pPr>
    <w:rPr>
      <w:rFonts w:ascii="Cambria" w:hAnsi="Cambria" w:cs="Cambria"/>
      <w:sz w:val="24"/>
      <w:szCs w:val="24"/>
    </w:rPr>
  </w:style>
  <w:style w:type="paragraph" w:styleId="3">
    <w:name w:val="Body Text"/>
    <w:basedOn w:val="1"/>
    <w:next w:val="1"/>
    <w:qFormat/>
    <w:uiPriority w:val="0"/>
    <w:pPr>
      <w:spacing w:after="120" w:afterAutospacing="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footnote text"/>
    <w:basedOn w:val="1"/>
    <w:next w:val="7"/>
    <w:qFormat/>
    <w:uiPriority w:val="0"/>
    <w:pPr>
      <w:snapToGrid w:val="0"/>
      <w:jc w:val="left"/>
    </w:pPr>
    <w:rPr>
      <w:sz w:val="18"/>
      <w:szCs w:val="18"/>
    </w:rPr>
  </w:style>
  <w:style w:type="paragraph" w:customStyle="1" w:styleId="7">
    <w:name w:val="索引 51"/>
    <w:basedOn w:val="1"/>
    <w:next w:val="1"/>
    <w:qFormat/>
    <w:uiPriority w:val="0"/>
    <w:pPr>
      <w:ind w:left="1680" w:leftChars="800" w:firstLine="2880" w:firstLineChars="900"/>
      <w:jc w:val="left"/>
    </w:pPr>
    <w:rPr>
      <w:rFonts w:ascii="仿宋" w:hAnsi="仿宋" w:eastAsia="仿宋" w:cs="仿宋"/>
      <w:color w:val="FF0000"/>
      <w:sz w:val="32"/>
      <w:szCs w:val="32"/>
    </w:rPr>
  </w:style>
  <w:style w:type="paragraph" w:styleId="8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  <w:style w:type="paragraph" w:customStyle="1" w:styleId="11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12">
    <w:name w:val="NormalCharacter"/>
    <w:link w:val="13"/>
    <w:qFormat/>
    <w:uiPriority w:val="0"/>
    <w:rPr>
      <w:rFonts w:eastAsia="仿宋_GB2312"/>
      <w:sz w:val="24"/>
      <w:szCs w:val="24"/>
    </w:rPr>
  </w:style>
  <w:style w:type="paragraph" w:customStyle="1" w:styleId="13">
    <w:name w:val="UserStyle_10"/>
    <w:basedOn w:val="1"/>
    <w:link w:val="12"/>
    <w:qFormat/>
    <w:uiPriority w:val="0"/>
    <w:pPr>
      <w:snapToGrid w:val="0"/>
      <w:spacing w:line="360" w:lineRule="auto"/>
      <w:ind w:firstLine="200" w:firstLineChars="200"/>
    </w:pPr>
    <w:rPr>
      <w:rFonts w:eastAsia="仿宋_GB2312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11</Pages>
  <Words>826</Words>
  <Characters>4711</Characters>
  <Lines>0</Lines>
  <Paragraphs>0</Paragraphs>
  <TotalTime>5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2021-04-02T09:58:00Z</dcterms:created>
  <dc:creator>xb21cn</dc:creator>
  <cp:lastModifiedBy>Administrator</cp:lastModifiedBy>
  <cp:lastPrinted>2021-07-20T09:19:38Z</cp:lastPrinted>
  <dcterms:modified xsi:type="dcterms:W3CDTF">2021-07-20T09:19:55Z</dcterms:modified>
  <dc:title>AutoBVT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DBFA118CBE4E47D6A38AC59501C75BB8</vt:lpwstr>
  </property>
</Properties>
</file>