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widowControl/>
        <w:shd w:val="clear" w:color="auto" w:fill="FFFFFF"/>
        <w:spacing w:before="75" w:beforeAutospacing="0" w:after="75" w:afterAutospacing="0" w:line="360" w:lineRule="atLeast"/>
        <w:ind w:left="0" w:right="0" w:firstLine="0"/>
        <w:jc w:val="center"/>
        <w:textAlignment w:val="baseline"/>
        <w:rPr>
          <w:rStyle w:val="6"/>
          <w:rFonts w:hint="eastAsia" w:ascii="宋体" w:hAnsi="宋体" w:eastAsia="宋体" w:cs="宋体"/>
          <w:i w:val="0"/>
          <w:caps w:val="0"/>
          <w:color w:val="333333"/>
          <w:spacing w:val="0"/>
          <w:sz w:val="30"/>
          <w:szCs w:val="30"/>
          <w:shd w:val="clear" w:color="auto" w:fill="FFFFFF"/>
        </w:rPr>
      </w:pPr>
      <w:bookmarkStart w:id="0" w:name="_GoBack"/>
      <w:bookmarkEnd w:id="0"/>
    </w:p>
    <w:p>
      <w:pPr>
        <w:spacing w:line="360" w:lineRule="auto"/>
        <w:jc w:val="center"/>
        <w:rPr>
          <w:rFonts w:hint="eastAsia" w:ascii="宋体" w:hAnsi="宋体" w:cs="宋体"/>
          <w:b/>
          <w:bCs/>
          <w:sz w:val="42"/>
          <w:szCs w:val="42"/>
        </w:rPr>
      </w:pPr>
      <w:r>
        <w:rPr>
          <w:rFonts w:hint="eastAsia" w:ascii="宋体" w:hAnsi="宋体" w:cs="宋体"/>
          <w:b/>
          <w:bCs/>
          <w:sz w:val="42"/>
          <w:szCs w:val="42"/>
        </w:rPr>
        <w:t>关于</w:t>
      </w:r>
      <w:r>
        <w:rPr>
          <w:rFonts w:hint="eastAsia" w:ascii="宋体" w:hAnsi="宋体" w:cs="宋体"/>
          <w:b/>
          <w:bCs/>
          <w:sz w:val="42"/>
          <w:szCs w:val="42"/>
          <w:lang w:eastAsia="zh-CN"/>
        </w:rPr>
        <w:t>淮阳区</w:t>
      </w:r>
      <w:r>
        <w:rPr>
          <w:rFonts w:hint="eastAsia" w:ascii="宋体" w:hAnsi="宋体" w:cs="宋体"/>
          <w:b/>
          <w:bCs/>
          <w:sz w:val="42"/>
          <w:szCs w:val="42"/>
        </w:rPr>
        <w:t>地方政府性债务情况</w:t>
      </w:r>
      <w:r>
        <w:rPr>
          <w:rFonts w:hint="eastAsia" w:ascii="宋体" w:hAnsi="宋体" w:cs="宋体"/>
          <w:b/>
          <w:bCs/>
          <w:sz w:val="42"/>
          <w:szCs w:val="42"/>
          <w:lang w:eastAsia="zh-CN"/>
        </w:rPr>
        <w:t>说明</w:t>
      </w:r>
    </w:p>
    <w:p>
      <w:pPr>
        <w:spacing w:line="360" w:lineRule="auto"/>
        <w:jc w:val="center"/>
        <w:rPr>
          <w:rFonts w:ascii="仿宋_GB2312" w:hAnsi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根据《预算法》要求，地方政府性债务要纳入公共财政预算体系，结合相关部门统计和审计部门审定结果，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淮阳</w:t>
      </w:r>
      <w:r>
        <w:rPr>
          <w:rFonts w:hint="eastAsia" w:ascii="仿宋_GB2312" w:hAnsi="仿宋" w:eastAsia="仿宋_GB2312" w:cs="仿宋"/>
          <w:sz w:val="32"/>
          <w:szCs w:val="32"/>
        </w:rPr>
        <w:t>县地方政府性债务预算编制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说明</w:t>
      </w:r>
      <w:r>
        <w:rPr>
          <w:rFonts w:hint="eastAsia" w:ascii="仿宋_GB2312" w:hAnsi="仿宋" w:eastAsia="仿宋_GB2312" w:cs="仿宋"/>
          <w:sz w:val="32"/>
          <w:szCs w:val="32"/>
        </w:rPr>
        <w:t>如下：</w:t>
      </w:r>
    </w:p>
    <w:p>
      <w:pPr>
        <w:tabs>
          <w:tab w:val="right" w:pos="8306"/>
        </w:tabs>
        <w:spacing w:line="360" w:lineRule="auto"/>
        <w:ind w:firstLine="640" w:firstLineChars="200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一、</w:t>
      </w: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2020</w:t>
      </w:r>
      <w:r>
        <w:rPr>
          <w:rFonts w:hint="eastAsia" w:ascii="黑体" w:hAnsi="黑体" w:eastAsia="黑体" w:cs="黑体"/>
          <w:bCs/>
          <w:sz w:val="32"/>
          <w:szCs w:val="32"/>
        </w:rPr>
        <w:t>年政府债务限额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2020</w:t>
      </w:r>
      <w:r>
        <w:rPr>
          <w:rFonts w:hint="eastAsia" w:ascii="仿宋_GB2312" w:hAnsi="仿宋" w:eastAsia="仿宋_GB2312" w:cs="仿宋"/>
          <w:sz w:val="32"/>
          <w:szCs w:val="32"/>
        </w:rPr>
        <w:t>年，上级下达我县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2020</w:t>
      </w:r>
      <w:r>
        <w:rPr>
          <w:rFonts w:hint="eastAsia" w:ascii="仿宋_GB2312" w:hAnsi="仿宋" w:eastAsia="仿宋_GB2312" w:cs="仿宋"/>
          <w:sz w:val="32"/>
          <w:szCs w:val="32"/>
        </w:rPr>
        <w:t>年政府债务限额为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462566万</w:t>
      </w:r>
      <w:r>
        <w:rPr>
          <w:rFonts w:hint="eastAsia" w:ascii="仿宋_GB2312" w:hAnsi="仿宋" w:eastAsia="仿宋_GB2312" w:cs="仿宋"/>
          <w:sz w:val="32"/>
          <w:szCs w:val="32"/>
        </w:rPr>
        <w:t>元，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一般债务限额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  <w:lang w:val="en-US" w:eastAsia="zh-CN"/>
        </w:rPr>
        <w:t>201295万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元；专项债务限额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  <w:lang w:val="en-US" w:eastAsia="zh-CN"/>
        </w:rPr>
        <w:t>261271万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元。</w:t>
      </w:r>
      <w:r>
        <w:rPr>
          <w:rFonts w:hint="eastAsia" w:ascii="仿宋_GB2312" w:hAnsi="仿宋" w:eastAsia="仿宋_GB2312" w:cs="仿宋"/>
          <w:sz w:val="32"/>
          <w:szCs w:val="32"/>
        </w:rPr>
        <w:t>其中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2020年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新增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政府债务限额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万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元</w:t>
      </w:r>
      <w:r>
        <w:rPr>
          <w:rFonts w:hint="eastAsia" w:ascii="仿宋_GB2312" w:hAnsi="仿宋_GB2312" w:cs="仿宋_GB2312"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新增</w:t>
      </w:r>
      <w:r>
        <w:rPr>
          <w:rFonts w:hint="eastAsia" w:ascii="仿宋" w:hAnsi="仿宋" w:eastAsia="仿宋" w:cs="仿宋"/>
          <w:bCs/>
          <w:sz w:val="32"/>
          <w:szCs w:val="32"/>
        </w:rPr>
        <w:t>一般债务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限额35000万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元；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新增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专项债务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限额97000万元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360" w:lineRule="auto"/>
        <w:ind w:firstLine="640" w:firstLineChars="200"/>
        <w:rPr>
          <w:rFonts w:hint="eastAsia"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二、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2020</w:t>
      </w: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年地方政府债务余额构成</w:t>
      </w:r>
    </w:p>
    <w:p>
      <w:pPr>
        <w:ind w:firstLine="640" w:firstLineChars="200"/>
        <w:jc w:val="both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2020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年末地方政府债务余额为</w:t>
      </w:r>
      <w:r>
        <w:rPr>
          <w:rFonts w:hint="eastAsia" w:ascii="仿宋" w:hAnsi="仿宋" w:eastAsia="仿宋" w:cs="仿宋"/>
          <w:snapToGrid w:val="0"/>
          <w:color w:val="auto"/>
          <w:kern w:val="21"/>
          <w:sz w:val="32"/>
          <w:szCs w:val="32"/>
          <w:shd w:val="clear" w:color="060000" w:fill="FFFFFF"/>
          <w:lang w:val="en-US" w:eastAsia="zh-CN"/>
        </w:rPr>
        <w:t>401264万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元，其中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一般债务余额</w:t>
      </w:r>
      <w:r>
        <w:rPr>
          <w:rFonts w:hint="eastAsia" w:ascii="仿宋" w:hAnsi="仿宋" w:eastAsia="仿宋" w:cs="仿宋"/>
          <w:snapToGrid w:val="0"/>
          <w:color w:val="auto"/>
          <w:kern w:val="21"/>
          <w:sz w:val="32"/>
          <w:szCs w:val="32"/>
          <w:shd w:val="clear" w:color="060000" w:fill="FFFFFF"/>
          <w:lang w:val="en-US" w:eastAsia="zh-CN"/>
        </w:rPr>
        <w:t>168046万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元，专项债务余额</w:t>
      </w:r>
      <w:r>
        <w:rPr>
          <w:rFonts w:hint="eastAsia" w:ascii="仿宋" w:hAnsi="仿宋" w:eastAsia="仿宋" w:cs="仿宋"/>
          <w:snapToGrid w:val="0"/>
          <w:color w:val="auto"/>
          <w:kern w:val="21"/>
          <w:sz w:val="32"/>
          <w:szCs w:val="32"/>
          <w:shd w:val="clear" w:color="060000" w:fill="FFFFFF"/>
          <w:lang w:val="en-US" w:eastAsia="zh-CN"/>
        </w:rPr>
        <w:t>233218万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元。</w:t>
      </w:r>
    </w:p>
    <w:p>
      <w:pPr>
        <w:spacing w:line="360" w:lineRule="auto"/>
        <w:ind w:firstLine="640" w:firstLineChars="200"/>
        <w:rPr>
          <w:rFonts w:hint="eastAsia"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三、新增地方政府债券使用情况</w:t>
      </w: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2020</w:t>
      </w:r>
      <w:r>
        <w:rPr>
          <w:rFonts w:hint="eastAsia" w:ascii="仿宋" w:hAnsi="仿宋" w:eastAsia="仿宋" w:cs="仿宋"/>
          <w:sz w:val="32"/>
          <w:szCs w:val="32"/>
        </w:rPr>
        <w:t>年上级下达</w:t>
      </w:r>
      <w:r>
        <w:rPr>
          <w:rFonts w:hint="eastAsia" w:ascii="仿宋" w:hAnsi="仿宋" w:eastAsia="仿宋" w:cs="仿宋"/>
          <w:bCs/>
          <w:sz w:val="32"/>
          <w:szCs w:val="32"/>
        </w:rPr>
        <w:t>我县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2020年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新增</w:t>
      </w:r>
      <w:r>
        <w:rPr>
          <w:rFonts w:hint="eastAsia" w:ascii="仿宋" w:hAnsi="仿宋" w:eastAsia="仿宋" w:cs="仿宋"/>
          <w:bCs/>
          <w:sz w:val="32"/>
          <w:szCs w:val="32"/>
        </w:rPr>
        <w:t>政府债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130828万</w:t>
      </w:r>
      <w:r>
        <w:rPr>
          <w:rFonts w:hint="eastAsia" w:ascii="仿宋" w:hAnsi="仿宋" w:eastAsia="仿宋" w:cs="仿宋"/>
          <w:bCs/>
          <w:sz w:val="32"/>
          <w:szCs w:val="32"/>
        </w:rPr>
        <w:t>元（其中：一般债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33828万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元；专项债券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97000万元</w:t>
      </w:r>
      <w:r>
        <w:rPr>
          <w:rFonts w:hint="eastAsia" w:ascii="仿宋" w:hAnsi="仿宋" w:eastAsia="仿宋" w:cs="仿宋"/>
          <w:bCs/>
          <w:sz w:val="32"/>
          <w:szCs w:val="32"/>
        </w:rPr>
        <w:t>）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；再融资债券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4838万元。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根据《周口市财政局关于下达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2020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新增地方政府债务限额</w:t>
      </w:r>
      <w:r>
        <w:rPr>
          <w:rFonts w:hint="eastAsia" w:ascii="仿宋" w:hAnsi="仿宋" w:eastAsia="仿宋" w:cs="仿宋"/>
          <w:sz w:val="32"/>
          <w:szCs w:val="32"/>
        </w:rPr>
        <w:t>的通知》的通知精神，结合我县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2020</w:t>
      </w:r>
      <w:r>
        <w:rPr>
          <w:rFonts w:hint="eastAsia" w:ascii="仿宋" w:hAnsi="仿宋" w:eastAsia="仿宋" w:cs="仿宋"/>
          <w:sz w:val="32"/>
          <w:szCs w:val="32"/>
        </w:rPr>
        <w:t>年政府工作重点及项目实施需要，县政府报请县人大常委会批准作了以下安排：</w:t>
      </w: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2020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年新增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一般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债券对应项目：</w:t>
      </w:r>
      <w:r>
        <w:rPr>
          <w:rFonts w:hint="eastAsia" w:ascii="仿宋_GB2312" w:hAnsi="仿宋_GB2312" w:eastAsia="仿宋_GB2312" w:cs="仿宋_GB2312"/>
          <w:sz w:val="32"/>
          <w:szCs w:val="32"/>
        </w:rPr>
        <w:t>中心城区市政道路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8631万元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中心城区道路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3295万元、</w:t>
      </w:r>
      <w:r>
        <w:rPr>
          <w:rFonts w:hint="eastAsia" w:ascii="仿宋_GB2312" w:hAnsi="仿宋_GB2312" w:eastAsia="仿宋_GB2312" w:cs="仿宋_GB2312"/>
          <w:sz w:val="32"/>
          <w:szCs w:val="32"/>
        </w:rPr>
        <w:t>城区道路建设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4567万元、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新增省道216太康淮阳至淮阳项城界段改建工程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3207万元、</w:t>
      </w:r>
      <w:r>
        <w:rPr>
          <w:rFonts w:hint="eastAsia" w:ascii="仿宋_GB2312" w:hAnsi="仿宋_GB2312" w:eastAsia="仿宋_GB2312" w:cs="仿宋_GB2312"/>
          <w:sz w:val="32"/>
          <w:szCs w:val="32"/>
        </w:rPr>
        <w:t>负压救护车负压病房建设及配套设备购置项目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500万元、</w:t>
      </w:r>
      <w:r>
        <w:rPr>
          <w:rFonts w:hint="eastAsia" w:ascii="仿宋_GB2312" w:hAnsi="仿宋_GB2312" w:eastAsia="仿宋_GB2312" w:cs="仿宋_GB2312"/>
          <w:sz w:val="32"/>
          <w:szCs w:val="32"/>
        </w:rPr>
        <w:t>扶贫基础设施项目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8400万元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。体育-淮阳区社会足球场工程项目1300万元；垃圾处理-淮阳区生活垃圾临时堆场及雨污分流建设项目1000万元；农村公路-2018年农村公路改建项目2928万元。</w:t>
      </w: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2020年新增专项债券对应项目：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人民医院提质升级项目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2000万元。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妇幼保健院门诊医技综合楼建设项目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2000万元。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第二人民医院病房楼、急诊医技楼建设项目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2000万元。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周口市淮阳区徐老沟西段综合治理工程（一期）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3500万元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周口市淮阳区七里河综合治理工程（一期）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7500万元。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蔡河家园社区棚户区改造项目36000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北花园社区棚户区改造项目23000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腾达社区棚户区改造项目21000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万元。</w:t>
      </w:r>
    </w:p>
    <w:p>
      <w:pPr>
        <w:spacing w:line="360" w:lineRule="auto"/>
        <w:ind w:firstLine="640" w:firstLineChars="200"/>
        <w:rPr>
          <w:rFonts w:hint="eastAsia"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四、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2020</w:t>
      </w: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年政府债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务</w:t>
      </w: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还本付息情况</w:t>
      </w:r>
    </w:p>
    <w:p>
      <w:pPr>
        <w:spacing w:line="360" w:lineRule="auto"/>
        <w:ind w:firstLine="640" w:firstLineChars="200"/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eastAsia="zh-CN"/>
        </w:rPr>
        <w:t>2020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年政府债务还本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30515万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元，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其中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一般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债务还本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6517万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元（2014年清理甄别后存量一般债务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1679万元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eastAsia="zh-CN"/>
        </w:rPr>
        <w:t>一般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债券还本4838万元）；专项债务还本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23998万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（专项债券还本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23998万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）。</w:t>
      </w:r>
    </w:p>
    <w:p>
      <w:pPr>
        <w:spacing w:line="360" w:lineRule="auto"/>
        <w:ind w:firstLine="640" w:firstLineChars="200"/>
        <w:rPr>
          <w:rFonts w:hint="eastAsia" w:ascii="仿宋_GB2312" w:hAnsi="黑体" w:eastAsia="仿宋_GB2312" w:cs="黑体"/>
          <w:bCs/>
          <w:color w:val="auto"/>
          <w:sz w:val="32"/>
          <w:szCs w:val="32"/>
        </w:rPr>
      </w:pP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2020年政府债券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付息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11694万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元，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其中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一般债券付息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5602万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元，专项债券付息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6092万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元。</w:t>
      </w:r>
    </w:p>
    <w:p>
      <w:pPr>
        <w:adjustRightInd w:val="0"/>
        <w:spacing w:line="580" w:lineRule="exact"/>
        <w:ind w:firstLine="420" w:firstLineChars="200"/>
      </w:pPr>
    </w:p>
    <w:sectPr>
      <w:footerReference r:id="rId3" w:type="default"/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2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08E95FE4"/>
    <w:rsid w:val="1750414E"/>
    <w:rsid w:val="1F4554D1"/>
    <w:rsid w:val="2A481076"/>
    <w:rsid w:val="535168B1"/>
    <w:rsid w:val="58474B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2019-11-19T09:12:00Z</dcterms:created>
  <dc:creator>肥宅快乐</dc:creator>
  <cp:lastModifiedBy>娟</cp:lastModifiedBy>
  <cp:lastPrinted>2021-03-18T08:28:00Z</cp:lastPrinted>
  <dcterms:modified xsi:type="dcterms:W3CDTF">2021-09-06T01:41:42Z</dcterms:modified>
  <dc:title>肥宅快乐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D930AFCC197F4DC8AC46001F283DBB67</vt:lpwstr>
  </property>
</Properties>
</file>