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Style w:val="11"/>
          <w:rFonts w:hint="eastAsia" w:ascii="仿宋_GB2312" w:hAnsi="仿宋_GB2312" w:eastAsia="仿宋_GB2312" w:cs="仿宋_GB2312"/>
          <w:b w:val="0"/>
          <w:bCs w:val="0"/>
          <w:color w:val="auto"/>
          <w:w w:val="90"/>
          <w:sz w:val="28"/>
          <w:szCs w:val="28"/>
        </w:rPr>
      </w:pPr>
      <w:r>
        <w:rPr>
          <w:rStyle w:val="11"/>
          <w:rFonts w:hint="eastAsia" w:ascii="仿宋_GB2312" w:hAnsi="仿宋_GB2312" w:eastAsia="仿宋_GB2312" w:cs="仿宋_GB2312"/>
          <w:b w:val="0"/>
          <w:bCs w:val="0"/>
          <w:color w:val="auto"/>
          <w:sz w:val="28"/>
          <w:szCs w:val="28"/>
          <w:lang w:val="en-US" w:eastAsia="zh-CN"/>
        </w:rPr>
        <w:t>区第一届人大</w:t>
      </w:r>
      <w:r>
        <w:rPr>
          <w:rStyle w:val="11"/>
          <w:rFonts w:hint="eastAsia" w:ascii="仿宋_GB2312" w:hAnsi="仿宋_GB2312" w:eastAsia="仿宋_GB2312" w:cs="仿宋_GB2312"/>
          <w:b w:val="0"/>
          <w:bCs w:val="0"/>
          <w:color w:val="auto"/>
          <w:w w:val="90"/>
          <w:sz w:val="28"/>
          <w:szCs w:val="28"/>
          <w:lang w:val="en-US" w:eastAsia="zh-CN"/>
        </w:rPr>
        <w:t>常委</w:t>
      </w:r>
      <w:r>
        <w:rPr>
          <w:rStyle w:val="11"/>
          <w:rFonts w:hint="eastAsia" w:ascii="仿宋_GB2312" w:hAnsi="仿宋_GB2312" w:eastAsia="仿宋_GB2312" w:cs="仿宋_GB2312"/>
          <w:b w:val="0"/>
          <w:bCs w:val="0"/>
          <w:color w:val="auto"/>
          <w:w w:val="90"/>
          <w:sz w:val="28"/>
          <w:szCs w:val="28"/>
        </w:rPr>
        <w:t>会</w:t>
      </w:r>
    </w:p>
    <w:p>
      <w:pPr>
        <w:rPr>
          <w:rStyle w:val="11"/>
          <w:rFonts w:hint="eastAsia" w:ascii="仿宋_GB2312" w:hAnsi="仿宋_GB2312" w:eastAsia="仿宋_GB2312" w:cs="仿宋_GB2312"/>
          <w:b w:val="0"/>
          <w:bCs w:val="0"/>
          <w:color w:val="auto"/>
          <w:w w:val="95"/>
          <w:sz w:val="28"/>
          <w:szCs w:val="28"/>
          <w:lang w:val="en-US" w:eastAsia="zh-CN"/>
        </w:rPr>
      </w:pPr>
      <w:r>
        <w:rPr>
          <w:rStyle w:val="11"/>
          <w:rFonts w:hint="eastAsia" w:ascii="仿宋_GB2312" w:hAnsi="仿宋_GB2312" w:eastAsia="仿宋_GB2312" w:cs="仿宋_GB2312"/>
          <w:b w:val="0"/>
          <w:bCs w:val="0"/>
          <w:color w:val="auto"/>
          <w:w w:val="95"/>
          <w:sz w:val="28"/>
          <w:szCs w:val="28"/>
          <w:lang w:val="en-US" w:eastAsia="zh-CN"/>
        </w:rPr>
        <w:t>第十三次会议文件五</w:t>
      </w:r>
    </w:p>
    <w:p>
      <w:pPr>
        <w:keepNext w:val="0"/>
        <w:keepLines w:val="0"/>
        <w:pageBreakBefore w:val="0"/>
        <w:widowControl w:val="0"/>
        <w:kinsoku/>
        <w:wordWrap/>
        <w:overflowPunct/>
        <w:topLinePunct w:val="0"/>
        <w:autoSpaceDE/>
        <w:autoSpaceDN/>
        <w:bidi w:val="0"/>
        <w:adjustRightInd/>
        <w:snapToGrid/>
        <w:spacing w:line="640" w:lineRule="exact"/>
        <w:ind w:right="0" w:rightChars="0"/>
        <w:jc w:val="center"/>
        <w:textAlignment w:val="auto"/>
        <w:outlineLvl w:val="9"/>
        <w:rPr>
          <w:rFonts w:hint="eastAsia" w:ascii="方正小标宋简体" w:hAnsi="黑体" w:eastAsia="方正小标宋简体"/>
          <w:color w:val="000000"/>
          <w:w w:val="95"/>
          <w:sz w:val="44"/>
          <w:szCs w:val="44"/>
        </w:rPr>
      </w:pPr>
    </w:p>
    <w:p>
      <w:pPr>
        <w:keepNext w:val="0"/>
        <w:keepLines w:val="0"/>
        <w:pageBreakBefore w:val="0"/>
        <w:widowControl w:val="0"/>
        <w:kinsoku/>
        <w:wordWrap/>
        <w:overflowPunct/>
        <w:topLinePunct w:val="0"/>
        <w:autoSpaceDE/>
        <w:autoSpaceDN/>
        <w:bidi w:val="0"/>
        <w:adjustRightInd/>
        <w:snapToGrid/>
        <w:spacing w:line="640" w:lineRule="exact"/>
        <w:ind w:right="0" w:rightChars="0"/>
        <w:jc w:val="center"/>
        <w:textAlignment w:val="auto"/>
        <w:outlineLvl w:val="9"/>
        <w:rPr>
          <w:rFonts w:hint="eastAsia" w:ascii="方正小标宋简体" w:hAnsi="黑体" w:eastAsia="方正小标宋简体"/>
          <w:color w:val="000000"/>
          <w:w w:val="100"/>
          <w:sz w:val="44"/>
          <w:szCs w:val="44"/>
        </w:rPr>
      </w:pPr>
      <w:r>
        <w:rPr>
          <w:rFonts w:hint="eastAsia" w:ascii="方正小标宋简体" w:hAnsi="黑体" w:eastAsia="方正小标宋简体"/>
          <w:color w:val="000000"/>
          <w:w w:val="100"/>
          <w:sz w:val="44"/>
          <w:szCs w:val="44"/>
        </w:rPr>
        <w:t>关于</w:t>
      </w:r>
      <w:r>
        <w:rPr>
          <w:rFonts w:hint="eastAsia" w:ascii="方正小标宋简体" w:hAnsi="黑体" w:eastAsia="方正小标宋简体"/>
          <w:color w:val="000000"/>
          <w:w w:val="100"/>
          <w:sz w:val="44"/>
          <w:szCs w:val="44"/>
          <w:lang w:eastAsia="zh-CN"/>
        </w:rPr>
        <w:t>周口市</w:t>
      </w:r>
      <w:r>
        <w:rPr>
          <w:rFonts w:hint="eastAsia" w:ascii="方正小标宋简体" w:hAnsi="黑体" w:eastAsia="方正小标宋简体"/>
          <w:color w:val="000000"/>
          <w:w w:val="100"/>
          <w:sz w:val="44"/>
          <w:szCs w:val="44"/>
        </w:rPr>
        <w:t>淮阳</w:t>
      </w:r>
      <w:r>
        <w:rPr>
          <w:rFonts w:hint="eastAsia" w:ascii="方正小标宋简体" w:hAnsi="黑体" w:eastAsia="方正小标宋简体"/>
          <w:color w:val="000000"/>
          <w:w w:val="100"/>
          <w:sz w:val="44"/>
          <w:szCs w:val="44"/>
          <w:lang w:eastAsia="zh-CN"/>
        </w:rPr>
        <w:t>区20</w:t>
      </w:r>
      <w:r>
        <w:rPr>
          <w:rFonts w:hint="eastAsia" w:ascii="方正小标宋简体" w:hAnsi="黑体" w:eastAsia="方正小标宋简体"/>
          <w:color w:val="000000"/>
          <w:w w:val="100"/>
          <w:sz w:val="44"/>
          <w:szCs w:val="44"/>
          <w:lang w:val="en-US" w:eastAsia="zh-CN"/>
        </w:rPr>
        <w:t>20</w:t>
      </w:r>
      <w:r>
        <w:rPr>
          <w:rFonts w:hint="eastAsia" w:ascii="方正小标宋简体" w:hAnsi="黑体" w:eastAsia="方正小标宋简体"/>
          <w:color w:val="000000"/>
          <w:w w:val="100"/>
          <w:sz w:val="44"/>
          <w:szCs w:val="44"/>
          <w:lang w:eastAsia="zh-CN"/>
        </w:rPr>
        <w:t>年</w:t>
      </w:r>
      <w:r>
        <w:rPr>
          <w:rFonts w:hint="eastAsia" w:ascii="方正小标宋简体" w:hAnsi="黑体" w:eastAsia="方正小标宋简体"/>
          <w:color w:val="000000"/>
          <w:w w:val="100"/>
          <w:sz w:val="44"/>
          <w:szCs w:val="44"/>
        </w:rPr>
        <w:t>度财政决算和</w:t>
      </w:r>
    </w:p>
    <w:p>
      <w:pPr>
        <w:keepNext w:val="0"/>
        <w:keepLines w:val="0"/>
        <w:pageBreakBefore w:val="0"/>
        <w:widowControl w:val="0"/>
        <w:kinsoku/>
        <w:wordWrap/>
        <w:overflowPunct/>
        <w:topLinePunct w:val="0"/>
        <w:autoSpaceDE/>
        <w:autoSpaceDN/>
        <w:bidi w:val="0"/>
        <w:adjustRightInd/>
        <w:snapToGrid/>
        <w:spacing w:line="640" w:lineRule="exact"/>
        <w:ind w:right="0" w:rightChars="0"/>
        <w:jc w:val="center"/>
        <w:textAlignment w:val="auto"/>
        <w:outlineLvl w:val="9"/>
        <w:rPr>
          <w:rFonts w:hint="eastAsia" w:ascii="方正小标宋简体" w:hAnsi="黑体" w:eastAsia="方正小标宋简体"/>
          <w:color w:val="000000"/>
          <w:sz w:val="44"/>
          <w:szCs w:val="44"/>
        </w:rPr>
      </w:pPr>
      <w:r>
        <w:rPr>
          <w:rFonts w:hint="eastAsia" w:ascii="方正小标宋简体" w:hAnsi="黑体" w:eastAsia="方正小标宋简体"/>
          <w:color w:val="000000"/>
          <w:sz w:val="44"/>
          <w:szCs w:val="44"/>
          <w:lang w:eastAsia="zh-CN"/>
        </w:rPr>
        <w:t>20</w:t>
      </w:r>
      <w:r>
        <w:rPr>
          <w:rFonts w:hint="eastAsia" w:ascii="方正小标宋简体" w:hAnsi="黑体" w:eastAsia="方正小标宋简体"/>
          <w:color w:val="000000"/>
          <w:sz w:val="44"/>
          <w:szCs w:val="44"/>
          <w:lang w:val="en-US" w:eastAsia="zh-CN"/>
        </w:rPr>
        <w:t>21</w:t>
      </w:r>
      <w:r>
        <w:rPr>
          <w:rFonts w:hint="eastAsia" w:ascii="方正小标宋简体" w:hAnsi="黑体" w:eastAsia="方正小标宋简体"/>
          <w:color w:val="000000"/>
          <w:sz w:val="44"/>
          <w:szCs w:val="44"/>
          <w:lang w:eastAsia="zh-CN"/>
        </w:rPr>
        <w:t>年</w:t>
      </w:r>
      <w:r>
        <w:rPr>
          <w:rFonts w:hint="eastAsia" w:ascii="方正小标宋简体" w:hAnsi="黑体" w:eastAsia="方正小标宋简体"/>
          <w:color w:val="000000"/>
          <w:sz w:val="44"/>
          <w:szCs w:val="44"/>
        </w:rPr>
        <w:t>上半年财政预算执行情况的报告</w:t>
      </w:r>
    </w:p>
    <w:p>
      <w:pPr>
        <w:keepNext w:val="0"/>
        <w:keepLines w:val="0"/>
        <w:pageBreakBefore w:val="0"/>
        <w:widowControl w:val="0"/>
        <w:kinsoku/>
        <w:wordWrap/>
        <w:overflowPunct/>
        <w:topLinePunct w:val="0"/>
        <w:autoSpaceDE/>
        <w:autoSpaceDN/>
        <w:bidi w:val="0"/>
        <w:adjustRightInd/>
        <w:snapToGrid/>
        <w:spacing w:line="640" w:lineRule="exact"/>
        <w:ind w:right="0" w:rightChars="0"/>
        <w:jc w:val="center"/>
        <w:textAlignment w:val="auto"/>
        <w:outlineLvl w:val="9"/>
        <w:rPr>
          <w:rFonts w:hint="eastAsia" w:ascii="仿宋_GB2312" w:hAnsi="仿宋" w:eastAsia="仿宋_GB2312" w:cs="宋体"/>
          <w:color w:val="000000"/>
          <w:spacing w:val="-28"/>
          <w:kern w:val="10"/>
          <w:position w:val="-2"/>
          <w:sz w:val="32"/>
          <w:szCs w:val="32"/>
          <w:highlight w:val="yellow"/>
        </w:rPr>
      </w:pPr>
      <w:r>
        <w:rPr>
          <w:rFonts w:hint="eastAsia" w:ascii="仿宋_GB2312" w:hAnsi="仿宋" w:eastAsia="仿宋_GB2312" w:cs="宋体"/>
          <w:color w:val="000000"/>
          <w:spacing w:val="-28"/>
          <w:kern w:val="10"/>
          <w:position w:val="-2"/>
          <w:sz w:val="32"/>
          <w:szCs w:val="32"/>
        </w:rPr>
        <w:t>——</w:t>
      </w:r>
      <w:r>
        <w:rPr>
          <w:rFonts w:hint="eastAsia" w:ascii="仿宋_GB2312" w:hAnsi="仿宋" w:eastAsia="仿宋_GB2312" w:cs="楷体_GB2312"/>
          <w:color w:val="000000"/>
          <w:spacing w:val="-28"/>
          <w:kern w:val="10"/>
          <w:position w:val="-2"/>
          <w:sz w:val="32"/>
          <w:szCs w:val="32"/>
          <w:highlight w:val="none"/>
          <w:lang w:val="en-US" w:eastAsia="zh-CN"/>
        </w:rPr>
        <w:t>2021</w:t>
      </w:r>
      <w:r>
        <w:rPr>
          <w:rFonts w:hint="eastAsia" w:ascii="仿宋_GB2312" w:hAnsi="仿宋" w:eastAsia="仿宋_GB2312" w:cs="楷体_GB2312"/>
          <w:color w:val="000000"/>
          <w:spacing w:val="-28"/>
          <w:kern w:val="10"/>
          <w:position w:val="-2"/>
          <w:sz w:val="32"/>
          <w:szCs w:val="32"/>
          <w:highlight w:val="none"/>
          <w:lang w:eastAsia="zh-CN"/>
        </w:rPr>
        <w:t>年</w:t>
      </w:r>
      <w:r>
        <w:rPr>
          <w:rFonts w:hint="eastAsia" w:ascii="仿宋_GB2312" w:hAnsi="仿宋" w:eastAsia="仿宋_GB2312" w:cs="楷体_GB2312"/>
          <w:color w:val="000000"/>
          <w:spacing w:val="-28"/>
          <w:kern w:val="10"/>
          <w:position w:val="-2"/>
          <w:sz w:val="32"/>
          <w:szCs w:val="32"/>
          <w:highlight w:val="none"/>
          <w:lang w:val="en-US" w:eastAsia="zh-CN"/>
        </w:rPr>
        <w:t>8</w:t>
      </w:r>
      <w:r>
        <w:rPr>
          <w:rFonts w:hint="eastAsia" w:ascii="仿宋_GB2312" w:hAnsi="仿宋" w:eastAsia="仿宋_GB2312" w:cs="楷体_GB2312"/>
          <w:color w:val="000000"/>
          <w:spacing w:val="-28"/>
          <w:kern w:val="10"/>
          <w:position w:val="-2"/>
          <w:sz w:val="32"/>
          <w:szCs w:val="32"/>
          <w:highlight w:val="none"/>
        </w:rPr>
        <w:t>月</w:t>
      </w:r>
      <w:r>
        <w:rPr>
          <w:rFonts w:hint="eastAsia" w:ascii="仿宋_GB2312" w:hAnsi="仿宋" w:eastAsia="仿宋_GB2312" w:cs="楷体_GB2312"/>
          <w:color w:val="000000"/>
          <w:spacing w:val="-28"/>
          <w:kern w:val="10"/>
          <w:position w:val="-2"/>
          <w:sz w:val="32"/>
          <w:szCs w:val="32"/>
          <w:highlight w:val="none"/>
          <w:lang w:val="en-US" w:eastAsia="zh-CN"/>
        </w:rPr>
        <w:t>26</w:t>
      </w:r>
      <w:r>
        <w:rPr>
          <w:rFonts w:hint="eastAsia" w:ascii="仿宋_GB2312" w:hAnsi="仿宋" w:eastAsia="仿宋_GB2312" w:cs="楷体_GB2312"/>
          <w:color w:val="000000"/>
          <w:spacing w:val="-28"/>
          <w:kern w:val="10"/>
          <w:position w:val="-2"/>
          <w:sz w:val="32"/>
          <w:szCs w:val="32"/>
          <w:highlight w:val="none"/>
        </w:rPr>
        <w:t>日在</w:t>
      </w:r>
      <w:r>
        <w:rPr>
          <w:rFonts w:hint="eastAsia" w:ascii="仿宋_GB2312" w:hAnsi="仿宋" w:eastAsia="仿宋_GB2312" w:cs="楷体_GB2312"/>
          <w:color w:val="000000"/>
          <w:spacing w:val="-28"/>
          <w:kern w:val="10"/>
          <w:position w:val="-2"/>
          <w:sz w:val="32"/>
          <w:szCs w:val="32"/>
          <w:highlight w:val="none"/>
          <w:lang w:eastAsia="zh-CN"/>
        </w:rPr>
        <w:t>区</w:t>
      </w:r>
      <w:r>
        <w:rPr>
          <w:rFonts w:hint="eastAsia" w:ascii="仿宋_GB2312" w:hAnsi="仿宋" w:eastAsia="仿宋_GB2312" w:cs="楷体_GB2312"/>
          <w:color w:val="000000"/>
          <w:spacing w:val="-28"/>
          <w:kern w:val="10"/>
          <w:position w:val="-2"/>
          <w:sz w:val="32"/>
          <w:szCs w:val="32"/>
          <w:highlight w:val="none"/>
          <w:lang w:val="en-US" w:eastAsia="zh-CN"/>
        </w:rPr>
        <w:t>一</w:t>
      </w:r>
      <w:r>
        <w:rPr>
          <w:rFonts w:hint="eastAsia" w:ascii="仿宋_GB2312" w:hAnsi="仿宋" w:eastAsia="仿宋_GB2312" w:cs="楷体_GB2312"/>
          <w:color w:val="000000"/>
          <w:spacing w:val="-28"/>
          <w:kern w:val="10"/>
          <w:position w:val="-2"/>
          <w:sz w:val="32"/>
          <w:szCs w:val="32"/>
          <w:highlight w:val="none"/>
        </w:rPr>
        <w:t>届人大常委</w:t>
      </w:r>
      <w:r>
        <w:rPr>
          <w:rFonts w:hint="eastAsia" w:ascii="仿宋_GB2312" w:hAnsi="仿宋" w:eastAsia="仿宋_GB2312" w:cs="楷体_GB2312"/>
          <w:color w:val="000000"/>
          <w:spacing w:val="-28"/>
          <w:kern w:val="10"/>
          <w:position w:val="-2"/>
          <w:sz w:val="32"/>
          <w:szCs w:val="32"/>
          <w:highlight w:val="none"/>
          <w:lang w:val="en-US" w:eastAsia="zh-CN"/>
        </w:rPr>
        <w:t>会第十三次</w:t>
      </w:r>
      <w:r>
        <w:rPr>
          <w:rFonts w:hint="eastAsia" w:ascii="仿宋_GB2312" w:hAnsi="仿宋" w:eastAsia="仿宋_GB2312" w:cs="楷体_GB2312"/>
          <w:color w:val="000000"/>
          <w:spacing w:val="-28"/>
          <w:kern w:val="10"/>
          <w:position w:val="-2"/>
          <w:sz w:val="32"/>
          <w:szCs w:val="32"/>
          <w:highlight w:val="none"/>
        </w:rPr>
        <w:t>会议上</w:t>
      </w:r>
    </w:p>
    <w:p>
      <w:pPr>
        <w:keepNext w:val="0"/>
        <w:keepLines w:val="0"/>
        <w:pageBreakBefore w:val="0"/>
        <w:widowControl w:val="0"/>
        <w:kinsoku/>
        <w:wordWrap/>
        <w:overflowPunct/>
        <w:topLinePunct w:val="0"/>
        <w:autoSpaceDE/>
        <w:autoSpaceDN/>
        <w:bidi w:val="0"/>
        <w:adjustRightInd/>
        <w:snapToGrid/>
        <w:spacing w:line="640" w:lineRule="exact"/>
        <w:ind w:right="0" w:rightChars="0"/>
        <w:jc w:val="center"/>
        <w:textAlignment w:val="auto"/>
        <w:outlineLvl w:val="9"/>
        <w:rPr>
          <w:rFonts w:hint="eastAsia" w:ascii="仿宋_GB2312" w:hAnsi="仿宋" w:eastAsia="仿宋_GB2312" w:cs="楷体_GB2312"/>
          <w:color w:val="000000"/>
          <w:sz w:val="32"/>
          <w:szCs w:val="32"/>
        </w:rPr>
      </w:pPr>
      <w:r>
        <w:rPr>
          <w:rFonts w:hint="eastAsia" w:ascii="仿宋_GB2312" w:hAnsi="仿宋" w:eastAsia="仿宋_GB2312" w:cs="楷体_GB2312"/>
          <w:color w:val="000000"/>
          <w:sz w:val="32"/>
          <w:szCs w:val="32"/>
          <w:lang w:eastAsia="zh-CN"/>
        </w:rPr>
        <w:t>周口市</w:t>
      </w:r>
      <w:r>
        <w:rPr>
          <w:rFonts w:hint="eastAsia" w:ascii="仿宋_GB2312" w:hAnsi="仿宋" w:eastAsia="仿宋_GB2312" w:cs="楷体_GB2312"/>
          <w:color w:val="000000"/>
          <w:sz w:val="32"/>
          <w:szCs w:val="32"/>
        </w:rPr>
        <w:t>淮阳</w:t>
      </w:r>
      <w:r>
        <w:rPr>
          <w:rFonts w:hint="eastAsia" w:ascii="仿宋_GB2312" w:hAnsi="仿宋" w:eastAsia="仿宋_GB2312" w:cs="楷体_GB2312"/>
          <w:color w:val="000000"/>
          <w:sz w:val="32"/>
          <w:szCs w:val="32"/>
          <w:lang w:eastAsia="zh-CN"/>
        </w:rPr>
        <w:t>区</w:t>
      </w:r>
      <w:r>
        <w:rPr>
          <w:rFonts w:hint="eastAsia" w:ascii="仿宋_GB2312" w:hAnsi="仿宋" w:eastAsia="仿宋_GB2312" w:cs="楷体_GB2312"/>
          <w:color w:val="000000"/>
          <w:sz w:val="32"/>
          <w:szCs w:val="32"/>
        </w:rPr>
        <w:t>财政局长  张</w:t>
      </w:r>
      <w:r>
        <w:rPr>
          <w:rFonts w:hint="eastAsia" w:ascii="仿宋_GB2312" w:hAnsi="仿宋" w:eastAsia="仿宋_GB2312" w:cs="楷体_GB2312"/>
          <w:color w:val="000000"/>
          <w:sz w:val="32"/>
          <w:szCs w:val="32"/>
          <w:lang w:val="en-US" w:eastAsia="zh-CN"/>
        </w:rPr>
        <w:t xml:space="preserve">  </w:t>
      </w:r>
      <w:r>
        <w:rPr>
          <w:rFonts w:hint="eastAsia" w:ascii="仿宋_GB2312" w:hAnsi="仿宋" w:eastAsia="仿宋_GB2312" w:cs="楷体_GB2312"/>
          <w:color w:val="000000"/>
          <w:sz w:val="32"/>
          <w:szCs w:val="32"/>
        </w:rPr>
        <w:t>伟</w:t>
      </w:r>
    </w:p>
    <w:p>
      <w:pPr>
        <w:keepNext w:val="0"/>
        <w:keepLines w:val="0"/>
        <w:pageBreakBefore w:val="0"/>
        <w:kinsoku/>
        <w:wordWrap/>
        <w:overflowPunct/>
        <w:topLinePunct w:val="0"/>
        <w:bidi w:val="0"/>
        <w:spacing w:line="640" w:lineRule="exact"/>
        <w:ind w:right="0" w:rightChars="0"/>
        <w:jc w:val="center"/>
        <w:textAlignment w:val="auto"/>
        <w:outlineLvl w:val="9"/>
        <w:rPr>
          <w:rFonts w:hint="eastAsia" w:ascii="楷体_GB2312" w:hAnsi="宋体" w:eastAsia="楷体_GB2312" w:cs="宋体"/>
          <w:color w:val="000000"/>
          <w:kern w:val="0"/>
          <w:sz w:val="32"/>
          <w:szCs w:val="32"/>
        </w:rPr>
      </w:pPr>
      <w:r>
        <w:rPr>
          <w:rFonts w:hint="eastAsia" w:ascii="楷体_GB2312" w:hAnsi="华文中宋" w:eastAsia="楷体_GB2312" w:cs="宋体"/>
          <w:b/>
          <w:bCs/>
          <w:color w:val="000000"/>
          <w:kern w:val="0"/>
          <w:sz w:val="32"/>
          <w:szCs w:val="32"/>
        </w:rPr>
        <w:t xml:space="preserve"> </w:t>
      </w:r>
    </w:p>
    <w:p>
      <w:pPr>
        <w:keepNext w:val="0"/>
        <w:keepLines w:val="0"/>
        <w:pageBreakBefore w:val="0"/>
        <w:widowControl/>
        <w:kinsoku/>
        <w:wordWrap/>
        <w:overflowPunct/>
        <w:topLinePunct w:val="0"/>
        <w:bidi w:val="0"/>
        <w:spacing w:line="640" w:lineRule="exact"/>
        <w:ind w:right="0" w:rightChars="0"/>
        <w:textAlignment w:val="auto"/>
        <w:outlineLvl w:val="9"/>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主任、各位副主任、各位委员：</w:t>
      </w:r>
    </w:p>
    <w:p>
      <w:pPr>
        <w:keepNext w:val="0"/>
        <w:keepLines w:val="0"/>
        <w:pageBreakBefore w:val="0"/>
        <w:widowControl/>
        <w:kinsoku/>
        <w:wordWrap/>
        <w:overflowPunct/>
        <w:topLinePunct w:val="0"/>
        <w:bidi w:val="0"/>
        <w:spacing w:line="640" w:lineRule="exact"/>
        <w:ind w:right="0" w:rightChars="0" w:firstLine="640" w:firstLineChars="200"/>
        <w:textAlignment w:val="auto"/>
        <w:outlineLvl w:val="9"/>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我受</w:t>
      </w:r>
      <w:r>
        <w:rPr>
          <w:rFonts w:hint="eastAsia" w:ascii="仿宋" w:hAnsi="仿宋" w:eastAsia="仿宋" w:cs="宋体"/>
          <w:color w:val="000000"/>
          <w:kern w:val="0"/>
          <w:sz w:val="32"/>
          <w:szCs w:val="32"/>
          <w:lang w:eastAsia="zh-CN"/>
        </w:rPr>
        <w:t>区</w:t>
      </w:r>
      <w:r>
        <w:rPr>
          <w:rFonts w:hint="eastAsia" w:ascii="仿宋" w:hAnsi="仿宋" w:eastAsia="仿宋" w:cs="宋体"/>
          <w:color w:val="000000"/>
          <w:kern w:val="0"/>
          <w:sz w:val="32"/>
          <w:szCs w:val="32"/>
        </w:rPr>
        <w:t>政府委托，向</w:t>
      </w:r>
      <w:r>
        <w:rPr>
          <w:rFonts w:hint="eastAsia" w:ascii="仿宋" w:hAnsi="仿宋" w:eastAsia="仿宋" w:cs="宋体"/>
          <w:color w:val="000000"/>
          <w:kern w:val="0"/>
          <w:sz w:val="32"/>
          <w:szCs w:val="32"/>
          <w:lang w:eastAsia="zh-CN"/>
        </w:rPr>
        <w:t>区</w:t>
      </w:r>
      <w:r>
        <w:rPr>
          <w:rFonts w:hint="eastAsia" w:ascii="仿宋" w:hAnsi="仿宋" w:eastAsia="仿宋" w:cs="宋体"/>
          <w:color w:val="000000"/>
          <w:kern w:val="0"/>
          <w:sz w:val="32"/>
          <w:szCs w:val="32"/>
        </w:rPr>
        <w:t>第</w:t>
      </w:r>
      <w:r>
        <w:rPr>
          <w:rFonts w:hint="eastAsia" w:ascii="仿宋" w:hAnsi="仿宋" w:eastAsia="仿宋" w:cs="宋体"/>
          <w:color w:val="000000"/>
          <w:kern w:val="0"/>
          <w:sz w:val="32"/>
          <w:szCs w:val="32"/>
          <w:lang w:eastAsia="zh-CN"/>
        </w:rPr>
        <w:t>一</w:t>
      </w:r>
      <w:r>
        <w:rPr>
          <w:rFonts w:hint="eastAsia" w:ascii="仿宋" w:hAnsi="仿宋" w:eastAsia="仿宋" w:cs="宋体"/>
          <w:color w:val="000000"/>
          <w:kern w:val="0"/>
          <w:sz w:val="32"/>
          <w:szCs w:val="32"/>
        </w:rPr>
        <w:t>届人大常委会</w:t>
      </w:r>
      <w:r>
        <w:rPr>
          <w:rFonts w:hint="eastAsia" w:ascii="仿宋" w:hAnsi="仿宋" w:eastAsia="仿宋" w:cs="宋体"/>
          <w:color w:val="000000"/>
          <w:kern w:val="0"/>
          <w:sz w:val="32"/>
          <w:szCs w:val="32"/>
          <w:lang w:val="en-US" w:eastAsia="zh-CN"/>
        </w:rPr>
        <w:t>第十三次会议</w:t>
      </w:r>
      <w:r>
        <w:rPr>
          <w:rFonts w:hint="eastAsia" w:ascii="仿宋" w:hAnsi="仿宋" w:eastAsia="仿宋" w:cs="宋体"/>
          <w:color w:val="000000"/>
          <w:kern w:val="0"/>
          <w:sz w:val="32"/>
          <w:szCs w:val="32"/>
        </w:rPr>
        <w:t>作</w:t>
      </w:r>
      <w:r>
        <w:rPr>
          <w:rFonts w:hint="eastAsia" w:ascii="仿宋" w:hAnsi="仿宋" w:eastAsia="仿宋" w:cs="宋体"/>
          <w:color w:val="000000"/>
          <w:kern w:val="0"/>
          <w:sz w:val="32"/>
          <w:szCs w:val="32"/>
          <w:lang w:eastAsia="zh-CN"/>
        </w:rPr>
        <w:t>20</w:t>
      </w:r>
      <w:r>
        <w:rPr>
          <w:rFonts w:hint="eastAsia" w:ascii="仿宋" w:hAnsi="仿宋" w:eastAsia="仿宋" w:cs="宋体"/>
          <w:color w:val="000000"/>
          <w:kern w:val="0"/>
          <w:sz w:val="32"/>
          <w:szCs w:val="32"/>
          <w:lang w:val="en-US" w:eastAsia="zh-CN"/>
        </w:rPr>
        <w:t>20</w:t>
      </w:r>
      <w:r>
        <w:rPr>
          <w:rFonts w:hint="eastAsia" w:ascii="仿宋" w:hAnsi="仿宋" w:eastAsia="仿宋" w:cs="宋体"/>
          <w:color w:val="000000"/>
          <w:kern w:val="0"/>
          <w:sz w:val="32"/>
          <w:szCs w:val="32"/>
          <w:lang w:eastAsia="zh-CN"/>
        </w:rPr>
        <w:t>年</w:t>
      </w:r>
      <w:r>
        <w:rPr>
          <w:rFonts w:hint="eastAsia" w:ascii="仿宋" w:hAnsi="仿宋" w:eastAsia="仿宋" w:cs="宋体"/>
          <w:color w:val="000000"/>
          <w:kern w:val="0"/>
          <w:sz w:val="32"/>
          <w:szCs w:val="32"/>
        </w:rPr>
        <w:t>度财政决算和</w:t>
      </w:r>
      <w:r>
        <w:rPr>
          <w:rFonts w:hint="eastAsia" w:ascii="仿宋" w:hAnsi="仿宋" w:eastAsia="仿宋" w:cs="宋体"/>
          <w:color w:val="000000"/>
          <w:kern w:val="0"/>
          <w:sz w:val="32"/>
          <w:szCs w:val="32"/>
          <w:lang w:eastAsia="zh-CN"/>
        </w:rPr>
        <w:t>20</w:t>
      </w:r>
      <w:r>
        <w:rPr>
          <w:rFonts w:hint="eastAsia" w:ascii="仿宋" w:hAnsi="仿宋" w:eastAsia="仿宋" w:cs="宋体"/>
          <w:color w:val="000000"/>
          <w:kern w:val="0"/>
          <w:sz w:val="32"/>
          <w:szCs w:val="32"/>
          <w:lang w:val="en-US" w:eastAsia="zh-CN"/>
        </w:rPr>
        <w:t>21</w:t>
      </w:r>
      <w:r>
        <w:rPr>
          <w:rFonts w:hint="eastAsia" w:ascii="仿宋" w:hAnsi="仿宋" w:eastAsia="仿宋" w:cs="宋体"/>
          <w:color w:val="000000"/>
          <w:kern w:val="0"/>
          <w:sz w:val="32"/>
          <w:szCs w:val="32"/>
          <w:lang w:eastAsia="zh-CN"/>
        </w:rPr>
        <w:t>年</w:t>
      </w:r>
      <w:r>
        <w:rPr>
          <w:rFonts w:hint="eastAsia" w:ascii="仿宋" w:hAnsi="仿宋" w:eastAsia="仿宋" w:cs="宋体"/>
          <w:color w:val="000000"/>
          <w:kern w:val="0"/>
          <w:sz w:val="32"/>
          <w:szCs w:val="32"/>
        </w:rPr>
        <w:t>上半年财政预算执行情况的报告，请予审议。</w:t>
      </w:r>
    </w:p>
    <w:p>
      <w:pPr>
        <w:keepNext w:val="0"/>
        <w:keepLines w:val="0"/>
        <w:pageBreakBefore w:val="0"/>
        <w:widowControl/>
        <w:kinsoku/>
        <w:wordWrap/>
        <w:overflowPunct/>
        <w:topLinePunct w:val="0"/>
        <w:bidi w:val="0"/>
        <w:spacing w:line="640" w:lineRule="exact"/>
        <w:ind w:right="0" w:rightChars="0" w:firstLine="630" w:firstLineChars="196"/>
        <w:textAlignment w:val="auto"/>
        <w:outlineLvl w:val="9"/>
        <w:rPr>
          <w:rFonts w:hint="eastAsia" w:ascii="黑体" w:hAnsi="黑体" w:eastAsia="黑体" w:cs="宋体"/>
          <w:b/>
          <w:bCs w:val="0"/>
          <w:color w:val="000000"/>
          <w:kern w:val="0"/>
          <w:sz w:val="32"/>
          <w:szCs w:val="32"/>
        </w:rPr>
      </w:pPr>
      <w:r>
        <w:rPr>
          <w:rFonts w:hint="eastAsia" w:ascii="黑体" w:hAnsi="黑体" w:eastAsia="黑体" w:cs="宋体"/>
          <w:b/>
          <w:bCs w:val="0"/>
          <w:color w:val="000000"/>
          <w:kern w:val="0"/>
          <w:sz w:val="32"/>
          <w:szCs w:val="32"/>
        </w:rPr>
        <w:t>一、</w:t>
      </w:r>
      <w:r>
        <w:rPr>
          <w:rFonts w:hint="eastAsia" w:ascii="黑体" w:hAnsi="黑体" w:eastAsia="黑体" w:cs="宋体"/>
          <w:b/>
          <w:bCs w:val="0"/>
          <w:color w:val="000000"/>
          <w:kern w:val="0"/>
          <w:sz w:val="32"/>
          <w:szCs w:val="32"/>
          <w:lang w:eastAsia="zh-CN"/>
        </w:rPr>
        <w:t>20</w:t>
      </w:r>
      <w:r>
        <w:rPr>
          <w:rFonts w:hint="eastAsia" w:ascii="黑体" w:hAnsi="黑体" w:eastAsia="黑体" w:cs="宋体"/>
          <w:b/>
          <w:bCs w:val="0"/>
          <w:color w:val="000000"/>
          <w:kern w:val="0"/>
          <w:sz w:val="32"/>
          <w:szCs w:val="32"/>
          <w:lang w:val="en-US" w:eastAsia="zh-CN"/>
        </w:rPr>
        <w:t>20</w:t>
      </w:r>
      <w:r>
        <w:rPr>
          <w:rFonts w:hint="eastAsia" w:ascii="黑体" w:hAnsi="黑体" w:eastAsia="黑体" w:cs="宋体"/>
          <w:b/>
          <w:bCs w:val="0"/>
          <w:color w:val="000000"/>
          <w:kern w:val="0"/>
          <w:sz w:val="32"/>
          <w:szCs w:val="32"/>
          <w:lang w:eastAsia="zh-CN"/>
        </w:rPr>
        <w:t>年</w:t>
      </w:r>
      <w:r>
        <w:rPr>
          <w:rFonts w:hint="eastAsia" w:ascii="黑体" w:hAnsi="黑体" w:eastAsia="黑体" w:cs="宋体"/>
          <w:b/>
          <w:bCs w:val="0"/>
          <w:color w:val="000000"/>
          <w:kern w:val="0"/>
          <w:sz w:val="32"/>
          <w:szCs w:val="32"/>
        </w:rPr>
        <w:t>度财政决算情况</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color w:val="000000"/>
          <w:sz w:val="32"/>
          <w:szCs w:val="32"/>
          <w:highlight w:val="none"/>
        </w:rPr>
      </w:pPr>
      <w:r>
        <w:rPr>
          <w:rFonts w:hint="eastAsia" w:ascii="仿宋" w:hAnsi="仿宋" w:eastAsia="仿宋"/>
          <w:color w:val="000000"/>
          <w:sz w:val="32"/>
          <w:szCs w:val="32"/>
          <w:highlight w:val="none"/>
          <w:lang w:eastAsia="zh-CN"/>
        </w:rPr>
        <w:t>20</w:t>
      </w:r>
      <w:r>
        <w:rPr>
          <w:rFonts w:hint="eastAsia" w:ascii="仿宋" w:hAnsi="仿宋" w:eastAsia="仿宋"/>
          <w:color w:val="000000"/>
          <w:sz w:val="32"/>
          <w:szCs w:val="32"/>
          <w:highlight w:val="none"/>
          <w:lang w:val="en-US" w:eastAsia="zh-CN"/>
        </w:rPr>
        <w:t>20</w:t>
      </w:r>
      <w:r>
        <w:rPr>
          <w:rFonts w:hint="eastAsia" w:ascii="仿宋" w:hAnsi="仿宋" w:eastAsia="仿宋"/>
          <w:color w:val="000000"/>
          <w:sz w:val="32"/>
          <w:szCs w:val="32"/>
          <w:highlight w:val="none"/>
          <w:lang w:eastAsia="zh-CN"/>
        </w:rPr>
        <w:t>年</w:t>
      </w:r>
      <w:r>
        <w:rPr>
          <w:rFonts w:hint="eastAsia" w:ascii="仿宋" w:hAnsi="仿宋" w:eastAsia="仿宋"/>
          <w:color w:val="000000"/>
          <w:sz w:val="32"/>
          <w:szCs w:val="32"/>
          <w:highlight w:val="none"/>
        </w:rPr>
        <w:t>，按</w:t>
      </w:r>
      <w:r>
        <w:rPr>
          <w:rFonts w:hint="eastAsia" w:ascii="仿宋" w:hAnsi="仿宋" w:eastAsia="仿宋" w:cs="仿宋"/>
          <w:color w:val="000000"/>
          <w:kern w:val="0"/>
          <w:sz w:val="32"/>
          <w:szCs w:val="32"/>
          <w:highlight w:val="none"/>
          <w:lang w:val="en-US" w:eastAsia="zh-CN"/>
        </w:rPr>
        <w:t>照区一届人大二次会议有</w:t>
      </w:r>
      <w:r>
        <w:rPr>
          <w:rFonts w:hint="eastAsia" w:ascii="仿宋" w:hAnsi="仿宋" w:eastAsia="仿宋"/>
          <w:color w:val="000000"/>
          <w:sz w:val="32"/>
          <w:szCs w:val="32"/>
          <w:highlight w:val="none"/>
        </w:rPr>
        <w:t>关决议和审查意见，</w:t>
      </w:r>
      <w:r>
        <w:rPr>
          <w:rFonts w:hint="eastAsia" w:ascii="仿宋" w:hAnsi="仿宋" w:eastAsia="仿宋" w:cs="仿宋"/>
          <w:color w:val="000000"/>
          <w:kern w:val="0"/>
          <w:sz w:val="32"/>
          <w:szCs w:val="32"/>
          <w:highlight w:val="none"/>
        </w:rPr>
        <w:t>围绕全</w:t>
      </w:r>
      <w:r>
        <w:rPr>
          <w:rFonts w:hint="eastAsia" w:ascii="仿宋" w:hAnsi="仿宋" w:eastAsia="仿宋" w:cs="仿宋"/>
          <w:color w:val="000000"/>
          <w:kern w:val="0"/>
          <w:sz w:val="32"/>
          <w:szCs w:val="32"/>
          <w:highlight w:val="none"/>
          <w:lang w:eastAsia="zh-CN"/>
        </w:rPr>
        <w:t>区经济社会发展</w:t>
      </w:r>
      <w:r>
        <w:rPr>
          <w:rFonts w:hint="eastAsia" w:ascii="仿宋" w:hAnsi="仿宋" w:eastAsia="仿宋" w:cs="仿宋"/>
          <w:color w:val="000000"/>
          <w:kern w:val="0"/>
          <w:sz w:val="32"/>
          <w:szCs w:val="32"/>
          <w:highlight w:val="none"/>
          <w:lang w:val="en-US" w:eastAsia="zh-CN"/>
        </w:rPr>
        <w:t>大局</w:t>
      </w:r>
      <w:r>
        <w:rPr>
          <w:rFonts w:hint="eastAsia" w:ascii="仿宋" w:hAnsi="仿宋" w:eastAsia="仿宋" w:cs="仿宋"/>
          <w:color w:val="000000"/>
          <w:kern w:val="0"/>
          <w:sz w:val="32"/>
          <w:szCs w:val="32"/>
          <w:highlight w:val="none"/>
        </w:rPr>
        <w:t>，</w:t>
      </w:r>
      <w:r>
        <w:rPr>
          <w:rFonts w:hint="eastAsia" w:ascii="仿宋" w:hAnsi="仿宋" w:eastAsia="仿宋" w:cs="仿宋"/>
          <w:color w:val="000000"/>
          <w:kern w:val="0"/>
          <w:sz w:val="32"/>
          <w:szCs w:val="32"/>
          <w:highlight w:val="none"/>
          <w:lang w:val="en-US" w:eastAsia="zh-CN"/>
        </w:rPr>
        <w:t>高起点站位、高标准规划、高质量落实，努力克服工作中遇到的困难和问题，强化</w:t>
      </w:r>
      <w:r>
        <w:rPr>
          <w:rFonts w:hint="eastAsia" w:ascii="仿宋" w:hAnsi="仿宋" w:eastAsia="仿宋" w:cs="仿宋"/>
          <w:color w:val="000000"/>
          <w:sz w:val="32"/>
          <w:szCs w:val="32"/>
          <w:highlight w:val="none"/>
        </w:rPr>
        <w:t>征收管理，优化支出结构，</w:t>
      </w:r>
      <w:r>
        <w:rPr>
          <w:rFonts w:hint="eastAsia" w:ascii="仿宋" w:hAnsi="仿宋" w:eastAsia="仿宋" w:cs="仿宋"/>
          <w:color w:val="000000"/>
          <w:sz w:val="32"/>
          <w:szCs w:val="32"/>
          <w:highlight w:val="none"/>
          <w:lang w:val="en-US" w:eastAsia="zh-CN"/>
        </w:rPr>
        <w:t>严格</w:t>
      </w:r>
      <w:r>
        <w:rPr>
          <w:rFonts w:hint="eastAsia" w:ascii="仿宋" w:hAnsi="仿宋" w:eastAsia="仿宋" w:cs="仿宋"/>
          <w:color w:val="000000"/>
          <w:sz w:val="32"/>
          <w:szCs w:val="32"/>
          <w:highlight w:val="none"/>
        </w:rPr>
        <w:t>财经纪律，深化财政改革，</w:t>
      </w:r>
      <w:r>
        <w:rPr>
          <w:rFonts w:hint="eastAsia" w:ascii="仿宋" w:hAnsi="仿宋" w:eastAsia="仿宋"/>
          <w:color w:val="000000"/>
          <w:sz w:val="32"/>
          <w:szCs w:val="32"/>
          <w:highlight w:val="none"/>
        </w:rPr>
        <w:t>圆满完成</w:t>
      </w:r>
      <w:r>
        <w:rPr>
          <w:rFonts w:hint="eastAsia" w:ascii="仿宋" w:hAnsi="仿宋" w:eastAsia="仿宋"/>
          <w:color w:val="000000"/>
          <w:sz w:val="32"/>
          <w:szCs w:val="32"/>
          <w:highlight w:val="none"/>
          <w:lang w:val="en-US" w:eastAsia="zh-CN"/>
        </w:rPr>
        <w:t>各项</w:t>
      </w:r>
      <w:r>
        <w:rPr>
          <w:rFonts w:hint="eastAsia" w:ascii="仿宋" w:hAnsi="仿宋" w:eastAsia="仿宋"/>
          <w:color w:val="000000"/>
          <w:sz w:val="32"/>
          <w:szCs w:val="32"/>
          <w:highlight w:val="none"/>
        </w:rPr>
        <w:t>目标任务。</w:t>
      </w:r>
    </w:p>
    <w:p>
      <w:pPr>
        <w:keepNext w:val="0"/>
        <w:keepLines w:val="0"/>
        <w:pageBreakBefore w:val="0"/>
        <w:kinsoku/>
        <w:wordWrap/>
        <w:overflowPunct/>
        <w:topLinePunct w:val="0"/>
        <w:autoSpaceDE/>
        <w:bidi w:val="0"/>
        <w:spacing w:line="640" w:lineRule="exact"/>
        <w:ind w:left="0" w:leftChars="0" w:right="0" w:rightChars="0" w:firstLine="643" w:firstLineChars="200"/>
        <w:jc w:val="both"/>
        <w:textAlignment w:val="auto"/>
        <w:outlineLvl w:val="9"/>
        <w:rPr>
          <w:rFonts w:ascii="楷体" w:hAnsi="楷体" w:eastAsia="楷体"/>
          <w:b/>
          <w:bCs/>
          <w:color w:val="000000"/>
          <w:sz w:val="32"/>
          <w:szCs w:val="32"/>
        </w:rPr>
      </w:pPr>
      <w:r>
        <w:rPr>
          <w:rFonts w:hint="eastAsia" w:ascii="楷体" w:hAnsi="楷体" w:eastAsia="楷体"/>
          <w:b/>
          <w:bCs/>
          <w:color w:val="000000"/>
          <w:sz w:val="32"/>
          <w:szCs w:val="32"/>
        </w:rPr>
        <w:t>（一）</w:t>
      </w:r>
      <w:r>
        <w:rPr>
          <w:rFonts w:hint="eastAsia" w:ascii="楷体" w:hAnsi="楷体" w:eastAsia="楷体"/>
          <w:b/>
          <w:bCs/>
          <w:color w:val="000000"/>
          <w:sz w:val="32"/>
          <w:szCs w:val="32"/>
          <w:lang w:val="en-US" w:eastAsia="zh-CN"/>
        </w:rPr>
        <w:t>地方</w:t>
      </w:r>
      <w:r>
        <w:rPr>
          <w:rFonts w:hint="eastAsia" w:ascii="楷体" w:hAnsi="楷体" w:eastAsia="楷体"/>
          <w:b/>
          <w:bCs/>
          <w:color w:val="000000"/>
          <w:sz w:val="32"/>
          <w:szCs w:val="32"/>
        </w:rPr>
        <w:t xml:space="preserve">财政收入完成情况 </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2020年，全区一般公共预算收入</w:t>
      </w:r>
      <w:r>
        <w:rPr>
          <w:rFonts w:hint="eastAsia" w:ascii="仿宋_GB2312" w:hAnsi="仿宋_GB2312" w:eastAsia="仿宋_GB2312" w:cs="仿宋_GB2312"/>
          <w:color w:val="auto"/>
          <w:sz w:val="32"/>
          <w:szCs w:val="32"/>
        </w:rPr>
        <w:t>完成</w:t>
      </w:r>
      <w:r>
        <w:rPr>
          <w:rFonts w:hint="eastAsia" w:ascii="仿宋_GB2312" w:hAnsi="仿宋_GB2312" w:eastAsia="仿宋_GB2312" w:cs="仿宋_GB2312"/>
          <w:color w:val="auto"/>
          <w:sz w:val="32"/>
          <w:szCs w:val="32"/>
          <w:lang w:val="en-US" w:eastAsia="zh-CN"/>
        </w:rPr>
        <w:t>114131</w:t>
      </w:r>
      <w:r>
        <w:rPr>
          <w:rFonts w:hint="eastAsia" w:ascii="仿宋_GB2312" w:hAnsi="仿宋_GB2312" w:eastAsia="仿宋_GB2312" w:cs="仿宋_GB2312"/>
          <w:color w:val="auto"/>
          <w:sz w:val="32"/>
          <w:szCs w:val="32"/>
        </w:rPr>
        <w:t>万元，</w:t>
      </w:r>
      <w:r>
        <w:rPr>
          <w:rFonts w:hint="eastAsia" w:ascii="仿宋" w:hAnsi="仿宋" w:eastAsia="仿宋" w:cs="仿宋"/>
          <w:color w:val="auto"/>
          <w:sz w:val="32"/>
          <w:szCs w:val="32"/>
          <w:lang w:val="en-US" w:eastAsia="zh-CN"/>
        </w:rPr>
        <w:t>为年度预算的105.6 %，增收14065万元，同比增长14.06 %</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收入增幅居</w:t>
      </w:r>
      <w:r>
        <w:rPr>
          <w:rFonts w:hint="eastAsia" w:ascii="仿宋_GB2312" w:hAnsi="仿宋_GB2312" w:eastAsia="仿宋_GB2312" w:cs="仿宋_GB2312"/>
          <w:color w:val="auto"/>
          <w:sz w:val="32"/>
          <w:szCs w:val="32"/>
          <w:lang w:val="en-US" w:eastAsia="zh-CN"/>
        </w:rPr>
        <w:t>全市第1</w:t>
      </w:r>
      <w:bookmarkStart w:id="0" w:name="_GoBack"/>
      <w:bookmarkEnd w:id="0"/>
      <w:r>
        <w:rPr>
          <w:rFonts w:hint="eastAsia" w:ascii="仿宋_GB2312" w:hAnsi="仿宋_GB2312" w:eastAsia="仿宋_GB2312" w:cs="仿宋_GB2312"/>
          <w:color w:val="auto"/>
          <w:sz w:val="32"/>
          <w:szCs w:val="32"/>
          <w:lang w:val="en-US" w:eastAsia="zh-CN"/>
        </w:rPr>
        <w:t>位。其</w:t>
      </w:r>
      <w:r>
        <w:rPr>
          <w:rFonts w:hint="eastAsia" w:ascii="仿宋_GB2312" w:hAnsi="仿宋_GB2312" w:eastAsia="仿宋_GB2312" w:cs="仿宋_GB2312"/>
          <w:color w:val="auto"/>
          <w:sz w:val="32"/>
          <w:szCs w:val="32"/>
        </w:rPr>
        <w:t>中：</w:t>
      </w:r>
      <w:r>
        <w:rPr>
          <w:rFonts w:hint="eastAsia" w:ascii="仿宋_GB2312" w:hAnsi="仿宋_GB2312" w:eastAsia="仿宋_GB2312" w:cs="仿宋_GB2312"/>
          <w:b w:val="0"/>
          <w:bCs w:val="0"/>
          <w:color w:val="auto"/>
          <w:sz w:val="32"/>
          <w:szCs w:val="32"/>
          <w:lang w:val="en-US" w:eastAsia="zh-CN"/>
        </w:rPr>
        <w:t>税务</w:t>
      </w:r>
      <w:r>
        <w:rPr>
          <w:rFonts w:hint="eastAsia" w:ascii="仿宋_GB2312" w:hAnsi="仿宋_GB2312" w:eastAsia="仿宋_GB2312" w:cs="仿宋_GB2312"/>
          <w:b w:val="0"/>
          <w:bCs w:val="0"/>
          <w:color w:val="auto"/>
          <w:sz w:val="32"/>
          <w:szCs w:val="32"/>
        </w:rPr>
        <w:t>部门完成</w:t>
      </w:r>
      <w:r>
        <w:rPr>
          <w:rFonts w:hint="eastAsia" w:ascii="仿宋_GB2312" w:hAnsi="仿宋_GB2312" w:eastAsia="仿宋_GB2312" w:cs="仿宋_GB2312"/>
          <w:b w:val="0"/>
          <w:bCs w:val="0"/>
          <w:color w:val="auto"/>
          <w:sz w:val="32"/>
          <w:szCs w:val="32"/>
          <w:lang w:val="en-US" w:eastAsia="zh-CN"/>
        </w:rPr>
        <w:t>82937</w:t>
      </w:r>
      <w:r>
        <w:rPr>
          <w:rFonts w:hint="eastAsia" w:ascii="仿宋_GB2312" w:hAnsi="仿宋_GB2312" w:eastAsia="仿宋_GB2312" w:cs="仿宋_GB2312"/>
          <w:b w:val="0"/>
          <w:bCs w:val="0"/>
          <w:color w:val="auto"/>
          <w:sz w:val="32"/>
          <w:szCs w:val="32"/>
        </w:rPr>
        <w:t>万元，为年度预算的</w:t>
      </w:r>
      <w:r>
        <w:rPr>
          <w:rFonts w:hint="eastAsia" w:ascii="仿宋_GB2312" w:hAnsi="仿宋_GB2312" w:eastAsia="仿宋_GB2312" w:cs="仿宋_GB2312"/>
          <w:b w:val="0"/>
          <w:bCs w:val="0"/>
          <w:color w:val="auto"/>
          <w:sz w:val="32"/>
          <w:szCs w:val="32"/>
          <w:lang w:val="en-US" w:eastAsia="zh-CN"/>
        </w:rPr>
        <w:t>109.63</w:t>
      </w:r>
      <w:r>
        <w:rPr>
          <w:rFonts w:hint="eastAsia" w:ascii="仿宋_GB2312" w:hAnsi="仿宋_GB2312" w:eastAsia="仿宋_GB2312" w:cs="仿宋_GB2312"/>
          <w:b w:val="0"/>
          <w:bCs w:val="0"/>
          <w:color w:val="auto"/>
          <w:sz w:val="32"/>
          <w:szCs w:val="32"/>
        </w:rPr>
        <w:t>%，同比</w:t>
      </w:r>
      <w:r>
        <w:rPr>
          <w:rFonts w:hint="eastAsia" w:ascii="仿宋_GB2312" w:hAnsi="仿宋_GB2312" w:eastAsia="仿宋_GB2312" w:cs="仿宋_GB2312"/>
          <w:b w:val="0"/>
          <w:bCs w:val="0"/>
          <w:color w:val="auto"/>
          <w:sz w:val="32"/>
          <w:szCs w:val="32"/>
          <w:lang w:val="en-US" w:eastAsia="zh-CN"/>
        </w:rPr>
        <w:t>增长19.25</w:t>
      </w:r>
      <w:r>
        <w:rPr>
          <w:rFonts w:hint="eastAsia" w:ascii="仿宋_GB2312" w:hAnsi="仿宋_GB2312" w:eastAsia="仿宋_GB2312" w:cs="仿宋_GB2312"/>
          <w:b w:val="0"/>
          <w:bCs w:val="0"/>
          <w:color w:val="auto"/>
          <w:sz w:val="32"/>
          <w:szCs w:val="32"/>
        </w:rPr>
        <w:t>%；财政部门完成</w:t>
      </w:r>
      <w:r>
        <w:rPr>
          <w:rFonts w:hint="eastAsia" w:ascii="仿宋_GB2312" w:hAnsi="仿宋_GB2312" w:eastAsia="仿宋_GB2312" w:cs="仿宋_GB2312"/>
          <w:b w:val="0"/>
          <w:bCs w:val="0"/>
          <w:color w:val="auto"/>
          <w:sz w:val="32"/>
          <w:szCs w:val="32"/>
          <w:lang w:val="en-US" w:eastAsia="zh-CN"/>
        </w:rPr>
        <w:t>31194</w:t>
      </w:r>
      <w:r>
        <w:rPr>
          <w:rFonts w:hint="eastAsia" w:ascii="仿宋_GB2312" w:hAnsi="仿宋_GB2312" w:eastAsia="仿宋_GB2312" w:cs="仿宋_GB2312"/>
          <w:b w:val="0"/>
          <w:bCs w:val="0"/>
          <w:color w:val="auto"/>
          <w:sz w:val="32"/>
          <w:szCs w:val="32"/>
        </w:rPr>
        <w:t>万元，为年度预算的</w:t>
      </w:r>
      <w:r>
        <w:rPr>
          <w:rFonts w:hint="eastAsia" w:ascii="仿宋_GB2312" w:hAnsi="仿宋_GB2312" w:eastAsia="仿宋_GB2312" w:cs="仿宋_GB2312"/>
          <w:b w:val="0"/>
          <w:bCs w:val="0"/>
          <w:color w:val="auto"/>
          <w:sz w:val="32"/>
          <w:szCs w:val="32"/>
          <w:lang w:val="en-US" w:eastAsia="zh-CN"/>
        </w:rPr>
        <w:t>96.21</w:t>
      </w:r>
      <w:r>
        <w:rPr>
          <w:rFonts w:hint="eastAsia" w:ascii="仿宋_GB2312" w:hAnsi="仿宋_GB2312" w:eastAsia="仿宋_GB2312" w:cs="仿宋_GB2312"/>
          <w:b w:val="0"/>
          <w:bCs w:val="0"/>
          <w:color w:val="auto"/>
          <w:sz w:val="32"/>
          <w:szCs w:val="32"/>
        </w:rPr>
        <w:t>%，同比</w:t>
      </w:r>
      <w:r>
        <w:rPr>
          <w:rFonts w:hint="eastAsia" w:ascii="仿宋_GB2312" w:hAnsi="仿宋_GB2312" w:eastAsia="仿宋_GB2312" w:cs="仿宋_GB2312"/>
          <w:b w:val="0"/>
          <w:bCs w:val="0"/>
          <w:color w:val="auto"/>
          <w:sz w:val="32"/>
          <w:szCs w:val="32"/>
          <w:lang w:val="en-US" w:eastAsia="zh-CN"/>
        </w:rPr>
        <w:t>增长2.2%。</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rPr>
        <w:t>主要收入项目完成情况：</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增值税完成</w:t>
      </w:r>
      <w:r>
        <w:rPr>
          <w:rFonts w:hint="eastAsia" w:ascii="仿宋_GB2312" w:hAnsi="仿宋_GB2312" w:eastAsia="仿宋_GB2312" w:cs="仿宋_GB2312"/>
          <w:color w:val="auto"/>
          <w:sz w:val="32"/>
          <w:szCs w:val="32"/>
          <w:lang w:val="en-US" w:eastAsia="zh-CN"/>
        </w:rPr>
        <w:t>23109</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增长18.81</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企</w:t>
      </w:r>
      <w:r>
        <w:rPr>
          <w:rFonts w:hint="eastAsia" w:ascii="仿宋_GB2312" w:hAnsi="仿宋_GB2312" w:eastAsia="仿宋_GB2312" w:cs="仿宋_GB2312"/>
          <w:color w:val="auto"/>
          <w:sz w:val="32"/>
          <w:szCs w:val="32"/>
          <w:lang w:val="en-US" w:eastAsia="zh-CN"/>
        </w:rPr>
        <w:t>业所得税完成14835万元，同比增长148.78%;</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个人所得税完成817万元，同比下降11.39%; </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资源税完成521万元，同比增长20.6%;</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城市维护建设税完</w:t>
      </w:r>
      <w:r>
        <w:rPr>
          <w:rFonts w:hint="eastAsia" w:ascii="仿宋_GB2312" w:hAnsi="仿宋_GB2312" w:eastAsia="仿宋_GB2312" w:cs="仿宋_GB2312"/>
          <w:color w:val="auto"/>
          <w:sz w:val="32"/>
          <w:szCs w:val="32"/>
          <w:highlight w:val="none"/>
          <w:lang w:val="en-US" w:eastAsia="zh-CN"/>
        </w:rPr>
        <w:t>成2121万元，</w:t>
      </w:r>
      <w:r>
        <w:rPr>
          <w:rFonts w:hint="eastAsia" w:ascii="仿宋_GB2312" w:hAnsi="仿宋_GB2312" w:eastAsia="仿宋_GB2312" w:cs="仿宋_GB2312"/>
          <w:color w:val="auto"/>
          <w:sz w:val="32"/>
          <w:szCs w:val="32"/>
          <w:lang w:val="en-US" w:eastAsia="zh-CN"/>
        </w:rPr>
        <w:t>同比增长18.69%;</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房产税完成</w:t>
      </w:r>
      <w:r>
        <w:rPr>
          <w:rFonts w:hint="eastAsia" w:ascii="仿宋_GB2312" w:hAnsi="仿宋_GB2312" w:eastAsia="仿宋_GB2312" w:cs="仿宋_GB2312"/>
          <w:color w:val="auto"/>
          <w:sz w:val="32"/>
          <w:szCs w:val="32"/>
          <w:lang w:val="en-US" w:eastAsia="zh-CN"/>
        </w:rPr>
        <w:t>851</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下降3.41</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城镇土地使用税完成</w:t>
      </w:r>
      <w:r>
        <w:rPr>
          <w:rFonts w:hint="eastAsia" w:ascii="仿宋_GB2312" w:hAnsi="仿宋_GB2312" w:eastAsia="仿宋_GB2312" w:cs="仿宋_GB2312"/>
          <w:color w:val="auto"/>
          <w:sz w:val="32"/>
          <w:szCs w:val="32"/>
          <w:lang w:val="en-US" w:eastAsia="zh-CN"/>
        </w:rPr>
        <w:t>3318</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下降4.1</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土地增值税完成</w:t>
      </w:r>
      <w:r>
        <w:rPr>
          <w:rFonts w:hint="eastAsia" w:ascii="仿宋_GB2312" w:hAnsi="仿宋_GB2312" w:eastAsia="仿宋_GB2312" w:cs="仿宋_GB2312"/>
          <w:color w:val="auto"/>
          <w:sz w:val="32"/>
          <w:szCs w:val="32"/>
          <w:lang w:val="en-US" w:eastAsia="zh-CN"/>
        </w:rPr>
        <w:t>11419</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增长42.03</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耕地占用税完成</w:t>
      </w:r>
      <w:r>
        <w:rPr>
          <w:rFonts w:hint="eastAsia" w:ascii="仿宋_GB2312" w:hAnsi="仿宋_GB2312" w:eastAsia="仿宋_GB2312" w:cs="仿宋_GB2312"/>
          <w:color w:val="auto"/>
          <w:sz w:val="32"/>
          <w:szCs w:val="32"/>
          <w:lang w:val="en-US" w:eastAsia="zh-CN"/>
        </w:rPr>
        <w:t>5531</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下降55.38</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契税完成</w:t>
      </w:r>
      <w:r>
        <w:rPr>
          <w:rFonts w:hint="eastAsia" w:ascii="仿宋_GB2312" w:hAnsi="仿宋_GB2312" w:eastAsia="仿宋_GB2312" w:cs="仿宋_GB2312"/>
          <w:color w:val="auto"/>
          <w:sz w:val="32"/>
          <w:szCs w:val="32"/>
          <w:lang w:val="en-US" w:eastAsia="zh-CN"/>
        </w:rPr>
        <w:t>17906万</w:t>
      </w:r>
      <w:r>
        <w:rPr>
          <w:rFonts w:hint="eastAsia" w:ascii="仿宋_GB2312" w:hAnsi="仿宋_GB2312" w:eastAsia="仿宋_GB2312" w:cs="仿宋_GB2312"/>
          <w:color w:val="auto"/>
          <w:sz w:val="32"/>
          <w:szCs w:val="32"/>
        </w:rPr>
        <w:t>元，同比</w:t>
      </w:r>
      <w:r>
        <w:rPr>
          <w:rFonts w:hint="eastAsia" w:ascii="仿宋_GB2312" w:hAnsi="仿宋_GB2312" w:eastAsia="仿宋_GB2312" w:cs="仿宋_GB2312"/>
          <w:color w:val="auto"/>
          <w:sz w:val="32"/>
          <w:szCs w:val="32"/>
          <w:lang w:val="en-US" w:eastAsia="zh-CN"/>
        </w:rPr>
        <w:t>增长43.31</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国有资源有偿使用收入</w:t>
      </w:r>
      <w:r>
        <w:rPr>
          <w:rFonts w:hint="eastAsia" w:ascii="仿宋_GB2312" w:hAnsi="仿宋_GB2312" w:eastAsia="仿宋_GB2312" w:cs="仿宋_GB2312"/>
          <w:color w:val="auto"/>
          <w:sz w:val="32"/>
          <w:szCs w:val="32"/>
          <w:lang w:val="en-US" w:eastAsia="zh-CN"/>
        </w:rPr>
        <w:t>10625</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下降0.9</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行政事业性收费收入完成</w:t>
      </w:r>
      <w:r>
        <w:rPr>
          <w:rFonts w:hint="eastAsia" w:ascii="仿宋_GB2312" w:hAnsi="仿宋_GB2312" w:eastAsia="仿宋_GB2312" w:cs="仿宋_GB2312"/>
          <w:color w:val="auto"/>
          <w:sz w:val="32"/>
          <w:szCs w:val="32"/>
          <w:lang w:val="en-US" w:eastAsia="zh-CN"/>
        </w:rPr>
        <w:t>9194万</w:t>
      </w:r>
      <w:r>
        <w:rPr>
          <w:rFonts w:hint="eastAsia" w:ascii="仿宋_GB2312" w:hAnsi="仿宋_GB2312" w:eastAsia="仿宋_GB2312" w:cs="仿宋_GB2312"/>
          <w:color w:val="auto"/>
          <w:sz w:val="32"/>
          <w:szCs w:val="32"/>
        </w:rPr>
        <w:t>元，同比</w:t>
      </w:r>
      <w:r>
        <w:rPr>
          <w:rFonts w:hint="eastAsia" w:ascii="仿宋_GB2312" w:hAnsi="仿宋_GB2312" w:eastAsia="仿宋_GB2312" w:cs="仿宋_GB2312"/>
          <w:color w:val="auto"/>
          <w:sz w:val="32"/>
          <w:szCs w:val="32"/>
          <w:lang w:val="en-US" w:eastAsia="zh-CN"/>
        </w:rPr>
        <w:t>下降40.99</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rPr>
        <w:t>罚没收入完成</w:t>
      </w:r>
      <w:r>
        <w:rPr>
          <w:rFonts w:hint="eastAsia" w:ascii="仿宋_GB2312" w:hAnsi="仿宋_GB2312" w:eastAsia="仿宋_GB2312" w:cs="仿宋_GB2312"/>
          <w:color w:val="auto"/>
          <w:sz w:val="32"/>
          <w:szCs w:val="32"/>
          <w:lang w:val="en-US" w:eastAsia="zh-CN"/>
        </w:rPr>
        <w:t>6344</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增长66.42</w:t>
      </w:r>
      <w:r>
        <w:rPr>
          <w:rFonts w:hint="eastAsia" w:ascii="仿宋_GB2312" w:hAnsi="仿宋_GB2312" w:eastAsia="仿宋_GB2312" w:cs="仿宋_GB2312"/>
          <w:color w:val="auto"/>
          <w:sz w:val="32"/>
          <w:szCs w:val="32"/>
          <w:highlight w:val="none"/>
        </w:rPr>
        <w:t>%；</w:t>
      </w:r>
    </w:p>
    <w:p>
      <w:pPr>
        <w:keepNext w:val="0"/>
        <w:keepLines w:val="0"/>
        <w:pageBreakBefore w:val="0"/>
        <w:kinsoku/>
        <w:wordWrap/>
        <w:overflowPunct/>
        <w:topLinePunct w:val="0"/>
        <w:autoSpaceDE/>
        <w:bidi w:val="0"/>
        <w:spacing w:line="640" w:lineRule="exact"/>
        <w:ind w:firstLine="640" w:firstLineChars="200"/>
        <w:jc w:val="both"/>
        <w:textAlignment w:val="auto"/>
        <w:rPr>
          <w:rFonts w:hint="default" w:ascii="仿宋" w:hAnsi="仿宋" w:eastAsia="仿宋"/>
          <w:color w:val="000000"/>
          <w:sz w:val="32"/>
          <w:szCs w:val="32"/>
          <w:lang w:val="en-US" w:eastAsia="zh-CN"/>
        </w:rPr>
      </w:pPr>
      <w:r>
        <w:rPr>
          <w:rFonts w:hint="eastAsia" w:ascii="仿宋_GB2312" w:hAnsi="仿宋_GB2312" w:eastAsia="仿宋_GB2312" w:cs="仿宋_GB2312"/>
          <w:color w:val="auto"/>
          <w:sz w:val="32"/>
          <w:szCs w:val="32"/>
        </w:rPr>
        <w:t>专项收入</w:t>
      </w:r>
      <w:r>
        <w:rPr>
          <w:rFonts w:hint="eastAsia" w:ascii="仿宋_GB2312" w:hAnsi="仿宋_GB2312" w:eastAsia="仿宋_GB2312" w:cs="仿宋_GB2312"/>
          <w:color w:val="auto"/>
          <w:sz w:val="32"/>
          <w:szCs w:val="32"/>
          <w:lang w:val="en-US" w:eastAsia="zh-CN"/>
        </w:rPr>
        <w:t>1981</w:t>
      </w:r>
      <w:r>
        <w:rPr>
          <w:rFonts w:hint="eastAsia" w:ascii="仿宋_GB2312" w:hAnsi="仿宋_GB2312" w:eastAsia="仿宋_GB2312" w:cs="仿宋_GB2312"/>
          <w:color w:val="auto"/>
          <w:sz w:val="32"/>
          <w:szCs w:val="32"/>
        </w:rPr>
        <w:t>万元，同比</w:t>
      </w:r>
      <w:r>
        <w:rPr>
          <w:rFonts w:hint="eastAsia" w:ascii="仿宋_GB2312" w:hAnsi="仿宋_GB2312" w:eastAsia="仿宋_GB2312" w:cs="仿宋_GB2312"/>
          <w:color w:val="auto"/>
          <w:sz w:val="32"/>
          <w:szCs w:val="32"/>
          <w:lang w:val="en-US" w:eastAsia="zh-CN"/>
        </w:rPr>
        <w:t>增长5.2</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bidi w:val="0"/>
        <w:spacing w:line="640" w:lineRule="exact"/>
        <w:ind w:right="0" w:rightChars="0" w:firstLine="643" w:firstLineChars="200"/>
        <w:jc w:val="both"/>
        <w:textAlignment w:val="auto"/>
        <w:outlineLvl w:val="9"/>
        <w:rPr>
          <w:rFonts w:hint="eastAsia" w:ascii="楷体" w:hAnsi="楷体" w:eastAsia="楷体" w:cs="楷体"/>
          <w:b/>
          <w:bCs/>
          <w:color w:val="000000"/>
          <w:sz w:val="32"/>
          <w:szCs w:val="32"/>
        </w:rPr>
      </w:pPr>
      <w:r>
        <w:rPr>
          <w:rFonts w:hint="eastAsia" w:ascii="楷体" w:hAnsi="楷体" w:eastAsia="楷体" w:cs="楷体"/>
          <w:b/>
          <w:bCs/>
          <w:color w:val="000000"/>
          <w:sz w:val="32"/>
          <w:szCs w:val="32"/>
        </w:rPr>
        <w:t>（二）</w:t>
      </w:r>
      <w:r>
        <w:rPr>
          <w:rFonts w:hint="eastAsia" w:ascii="楷体" w:hAnsi="楷体" w:eastAsia="楷体" w:cs="楷体"/>
          <w:b/>
          <w:bCs/>
          <w:color w:val="000000"/>
          <w:sz w:val="32"/>
          <w:szCs w:val="32"/>
          <w:lang w:val="en-US" w:eastAsia="zh-CN"/>
        </w:rPr>
        <w:t>地方</w:t>
      </w:r>
      <w:r>
        <w:rPr>
          <w:rFonts w:hint="eastAsia" w:ascii="楷体" w:hAnsi="楷体" w:eastAsia="楷体" w:cs="楷体"/>
          <w:b/>
          <w:bCs/>
          <w:color w:val="000000"/>
          <w:sz w:val="32"/>
          <w:szCs w:val="32"/>
        </w:rPr>
        <w:t xml:space="preserve">财政支出完成情况 </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cs="仿宋"/>
          <w:b w:val="0"/>
          <w:bCs w:val="0"/>
          <w:color w:val="000000"/>
          <w:sz w:val="32"/>
          <w:szCs w:val="32"/>
          <w:lang w:val="en-US" w:eastAsia="zh-CN"/>
        </w:rPr>
      </w:pPr>
      <w:r>
        <w:rPr>
          <w:rFonts w:hint="eastAsia" w:ascii="仿宋" w:hAnsi="仿宋" w:eastAsia="仿宋"/>
          <w:color w:val="000000"/>
          <w:sz w:val="32"/>
          <w:szCs w:val="32"/>
        </w:rPr>
        <w:t>全</w:t>
      </w:r>
      <w:r>
        <w:rPr>
          <w:rFonts w:hint="eastAsia" w:ascii="仿宋" w:hAnsi="仿宋" w:eastAsia="仿宋"/>
          <w:color w:val="000000"/>
          <w:sz w:val="32"/>
          <w:szCs w:val="32"/>
          <w:lang w:val="en-US" w:eastAsia="zh-CN"/>
        </w:rPr>
        <w:t>区</w:t>
      </w:r>
      <w:r>
        <w:rPr>
          <w:rFonts w:hint="eastAsia" w:ascii="仿宋" w:hAnsi="仿宋" w:eastAsia="仿宋"/>
          <w:color w:val="000000"/>
          <w:sz w:val="32"/>
          <w:szCs w:val="32"/>
        </w:rPr>
        <w:t>一般公共预算支出</w:t>
      </w:r>
      <w:r>
        <w:rPr>
          <w:rFonts w:hint="eastAsia" w:ascii="仿宋" w:hAnsi="仿宋" w:eastAsia="仿宋"/>
          <w:color w:val="000000"/>
          <w:sz w:val="32"/>
          <w:szCs w:val="32"/>
          <w:lang w:eastAsia="zh-CN"/>
        </w:rPr>
        <w:t>完成</w:t>
      </w:r>
      <w:r>
        <w:rPr>
          <w:rFonts w:hint="eastAsia" w:ascii="仿宋" w:hAnsi="仿宋" w:eastAsia="仿宋"/>
          <w:color w:val="000000"/>
          <w:sz w:val="32"/>
          <w:szCs w:val="32"/>
          <w:lang w:val="en-US" w:eastAsia="zh-CN"/>
        </w:rPr>
        <w:t>813870</w:t>
      </w:r>
      <w:r>
        <w:rPr>
          <w:rFonts w:hint="eastAsia" w:ascii="仿宋" w:hAnsi="仿宋" w:eastAsia="仿宋"/>
          <w:color w:val="000000"/>
          <w:sz w:val="32"/>
          <w:szCs w:val="32"/>
        </w:rPr>
        <w:t>万元，为</w:t>
      </w:r>
      <w:r>
        <w:rPr>
          <w:rFonts w:hint="eastAsia" w:ascii="仿宋" w:hAnsi="仿宋" w:eastAsia="仿宋"/>
          <w:color w:val="000000"/>
          <w:sz w:val="32"/>
          <w:szCs w:val="32"/>
          <w:lang w:eastAsia="zh-CN"/>
        </w:rPr>
        <w:t>调整</w:t>
      </w:r>
      <w:r>
        <w:rPr>
          <w:rFonts w:hint="eastAsia" w:ascii="仿宋" w:hAnsi="仿宋" w:eastAsia="仿宋"/>
          <w:color w:val="000000"/>
          <w:sz w:val="32"/>
          <w:szCs w:val="32"/>
        </w:rPr>
        <w:t>预算</w:t>
      </w:r>
      <w:r>
        <w:rPr>
          <w:rFonts w:hint="eastAsia" w:ascii="仿宋" w:hAnsi="仿宋" w:eastAsia="仿宋"/>
          <w:color w:val="000000"/>
          <w:sz w:val="32"/>
          <w:szCs w:val="32"/>
          <w:lang w:val="en-US" w:eastAsia="zh-CN"/>
        </w:rPr>
        <w:t>数的99.42</w:t>
      </w:r>
      <w:r>
        <w:rPr>
          <w:rFonts w:hint="eastAsia" w:ascii="仿宋" w:hAnsi="仿宋" w:eastAsia="仿宋"/>
          <w:color w:val="000000"/>
          <w:sz w:val="32"/>
          <w:szCs w:val="32"/>
        </w:rPr>
        <w:t>%，同比增</w:t>
      </w:r>
      <w:r>
        <w:rPr>
          <w:rFonts w:hint="eastAsia" w:ascii="仿宋" w:hAnsi="仿宋" w:eastAsia="仿宋"/>
          <w:b w:val="0"/>
          <w:bCs w:val="0"/>
          <w:color w:val="000000"/>
          <w:sz w:val="32"/>
          <w:szCs w:val="32"/>
        </w:rPr>
        <w:t>长</w:t>
      </w:r>
      <w:r>
        <w:rPr>
          <w:rFonts w:hint="eastAsia" w:ascii="仿宋" w:hAnsi="仿宋" w:eastAsia="仿宋"/>
          <w:b w:val="0"/>
          <w:bCs w:val="0"/>
          <w:color w:val="000000"/>
          <w:sz w:val="32"/>
          <w:szCs w:val="32"/>
          <w:lang w:val="en-US" w:eastAsia="zh-CN"/>
        </w:rPr>
        <w:t>21.9</w:t>
      </w:r>
      <w:r>
        <w:rPr>
          <w:rFonts w:hint="eastAsia" w:ascii="仿宋" w:hAnsi="仿宋" w:eastAsia="仿宋"/>
          <w:b w:val="0"/>
          <w:bCs w:val="0"/>
          <w:color w:val="000000"/>
          <w:sz w:val="32"/>
          <w:szCs w:val="32"/>
        </w:rPr>
        <w:t>%，增支</w:t>
      </w:r>
      <w:r>
        <w:rPr>
          <w:rFonts w:hint="eastAsia" w:ascii="仿宋" w:hAnsi="仿宋" w:eastAsia="仿宋"/>
          <w:b w:val="0"/>
          <w:bCs w:val="0"/>
          <w:color w:val="000000"/>
          <w:sz w:val="32"/>
          <w:szCs w:val="32"/>
          <w:lang w:val="en-US" w:eastAsia="zh-CN"/>
        </w:rPr>
        <w:t>146197</w:t>
      </w:r>
      <w:r>
        <w:rPr>
          <w:rFonts w:hint="eastAsia" w:ascii="仿宋" w:hAnsi="仿宋" w:eastAsia="仿宋"/>
          <w:b w:val="0"/>
          <w:bCs w:val="0"/>
          <w:color w:val="000000"/>
          <w:sz w:val="32"/>
          <w:szCs w:val="32"/>
        </w:rPr>
        <w:t>万元。</w:t>
      </w:r>
      <w:r>
        <w:rPr>
          <w:rFonts w:hint="eastAsia" w:ascii="仿宋" w:hAnsi="仿宋" w:eastAsia="仿宋"/>
          <w:b w:val="0"/>
          <w:bCs w:val="0"/>
          <w:color w:val="000000"/>
          <w:sz w:val="32"/>
          <w:szCs w:val="32"/>
          <w:lang w:val="en-US" w:eastAsia="zh-CN"/>
        </w:rPr>
        <w:t>其中</w:t>
      </w:r>
      <w:r>
        <w:rPr>
          <w:rFonts w:hint="eastAsia" w:ascii="仿宋" w:hAnsi="仿宋" w:eastAsia="仿宋" w:cs="仿宋"/>
          <w:b w:val="0"/>
          <w:bCs w:val="0"/>
          <w:color w:val="000000"/>
          <w:sz w:val="32"/>
          <w:szCs w:val="32"/>
          <w:lang w:val="en-US" w:eastAsia="zh-CN"/>
        </w:rPr>
        <w:t>八项重点支出累计完成527860万元。</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lang w:val="en-US" w:eastAsia="zh-CN"/>
        </w:rPr>
        <w:t>八项重点支出</w:t>
      </w:r>
      <w:r>
        <w:rPr>
          <w:rFonts w:hint="eastAsia" w:ascii="仿宋" w:hAnsi="仿宋" w:eastAsia="仿宋"/>
          <w:b w:val="0"/>
          <w:bCs w:val="0"/>
          <w:color w:val="000000"/>
          <w:sz w:val="32"/>
          <w:szCs w:val="32"/>
        </w:rPr>
        <w:t>完成情况是：</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rPr>
        <w:t>一般公共服务支出</w:t>
      </w:r>
      <w:r>
        <w:rPr>
          <w:rFonts w:hint="eastAsia" w:ascii="仿宋" w:hAnsi="仿宋" w:eastAsia="仿宋"/>
          <w:b w:val="0"/>
          <w:bCs w:val="0"/>
          <w:color w:val="000000"/>
          <w:sz w:val="32"/>
          <w:szCs w:val="32"/>
          <w:lang w:val="en-US" w:eastAsia="zh-CN"/>
        </w:rPr>
        <w:t>73425</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25.04</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rPr>
      </w:pPr>
      <w:r>
        <w:rPr>
          <w:rFonts w:hint="eastAsia" w:ascii="仿宋" w:hAnsi="仿宋" w:eastAsia="仿宋"/>
          <w:b w:val="0"/>
          <w:bCs w:val="0"/>
          <w:color w:val="000000"/>
          <w:sz w:val="32"/>
          <w:szCs w:val="32"/>
        </w:rPr>
        <w:t>公共安全支出</w:t>
      </w:r>
      <w:r>
        <w:rPr>
          <w:rFonts w:hint="eastAsia" w:ascii="仿宋" w:hAnsi="仿宋" w:eastAsia="仿宋"/>
          <w:b w:val="0"/>
          <w:bCs w:val="0"/>
          <w:color w:val="000000"/>
          <w:sz w:val="32"/>
          <w:szCs w:val="32"/>
          <w:lang w:val="en-US" w:eastAsia="zh-CN"/>
        </w:rPr>
        <w:t>22942</w:t>
      </w:r>
      <w:r>
        <w:rPr>
          <w:rFonts w:hint="eastAsia" w:ascii="仿宋" w:hAnsi="仿宋" w:eastAsia="仿宋"/>
          <w:b w:val="0"/>
          <w:bCs w:val="0"/>
          <w:color w:val="000000"/>
          <w:sz w:val="32"/>
          <w:szCs w:val="32"/>
        </w:rPr>
        <w:t>万元，同比</w:t>
      </w:r>
      <w:r>
        <w:rPr>
          <w:rFonts w:hint="eastAsia" w:ascii="仿宋" w:hAnsi="仿宋" w:eastAsia="仿宋"/>
          <w:b w:val="0"/>
          <w:bCs w:val="0"/>
          <w:color w:val="000000"/>
          <w:sz w:val="32"/>
          <w:szCs w:val="32"/>
          <w:lang w:val="en-US" w:eastAsia="zh-CN"/>
        </w:rPr>
        <w:t>下降3.46</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rPr>
        <w:t>教育支出</w:t>
      </w:r>
      <w:r>
        <w:rPr>
          <w:rFonts w:hint="eastAsia" w:ascii="仿宋" w:hAnsi="仿宋" w:eastAsia="仿宋"/>
          <w:b w:val="0"/>
          <w:bCs w:val="0"/>
          <w:color w:val="000000"/>
          <w:sz w:val="32"/>
          <w:szCs w:val="32"/>
          <w:lang w:val="en-US" w:eastAsia="zh-CN"/>
        </w:rPr>
        <w:t>146102</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5.36</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rPr>
      </w:pPr>
      <w:r>
        <w:rPr>
          <w:rFonts w:hint="eastAsia" w:ascii="仿宋" w:hAnsi="仿宋" w:eastAsia="仿宋"/>
          <w:b w:val="0"/>
          <w:bCs w:val="0"/>
          <w:color w:val="000000"/>
          <w:sz w:val="32"/>
          <w:szCs w:val="32"/>
        </w:rPr>
        <w:t>科学技术支出</w:t>
      </w:r>
      <w:r>
        <w:rPr>
          <w:rFonts w:hint="eastAsia" w:ascii="仿宋" w:hAnsi="仿宋" w:eastAsia="仿宋"/>
          <w:b w:val="0"/>
          <w:bCs w:val="0"/>
          <w:color w:val="000000"/>
          <w:sz w:val="32"/>
          <w:szCs w:val="32"/>
          <w:lang w:val="en-US" w:eastAsia="zh-CN"/>
        </w:rPr>
        <w:t>723</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12.27</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rPr>
      </w:pPr>
      <w:r>
        <w:rPr>
          <w:rFonts w:hint="eastAsia" w:ascii="仿宋" w:hAnsi="仿宋" w:eastAsia="仿宋"/>
          <w:b w:val="0"/>
          <w:bCs w:val="0"/>
          <w:color w:val="000000"/>
          <w:sz w:val="32"/>
          <w:szCs w:val="32"/>
        </w:rPr>
        <w:t>社会保障和就业支出</w:t>
      </w:r>
      <w:r>
        <w:rPr>
          <w:rFonts w:hint="eastAsia" w:ascii="仿宋" w:hAnsi="仿宋" w:eastAsia="仿宋"/>
          <w:b w:val="0"/>
          <w:bCs w:val="0"/>
          <w:color w:val="000000"/>
          <w:sz w:val="32"/>
          <w:szCs w:val="32"/>
          <w:lang w:val="en-US" w:eastAsia="zh-CN"/>
        </w:rPr>
        <w:t>121164</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13.5</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ascii="仿宋" w:hAnsi="仿宋" w:eastAsia="仿宋"/>
          <w:b w:val="0"/>
          <w:bCs w:val="0"/>
          <w:color w:val="000000"/>
          <w:sz w:val="32"/>
          <w:szCs w:val="32"/>
        </w:rPr>
      </w:pPr>
      <w:r>
        <w:rPr>
          <w:rFonts w:hint="eastAsia" w:ascii="仿宋" w:hAnsi="仿宋" w:eastAsia="仿宋"/>
          <w:b w:val="0"/>
          <w:bCs w:val="0"/>
          <w:color w:val="000000"/>
          <w:sz w:val="32"/>
          <w:szCs w:val="32"/>
          <w:lang w:eastAsia="zh-CN"/>
        </w:rPr>
        <w:t>卫生健康</w:t>
      </w:r>
      <w:r>
        <w:rPr>
          <w:rFonts w:hint="eastAsia" w:ascii="仿宋" w:hAnsi="仿宋" w:eastAsia="仿宋"/>
          <w:b w:val="0"/>
          <w:bCs w:val="0"/>
          <w:color w:val="000000"/>
          <w:sz w:val="32"/>
          <w:szCs w:val="32"/>
        </w:rPr>
        <w:t>支出</w:t>
      </w:r>
      <w:r>
        <w:rPr>
          <w:rFonts w:hint="eastAsia" w:ascii="仿宋" w:hAnsi="仿宋" w:eastAsia="仿宋"/>
          <w:b w:val="0"/>
          <w:bCs w:val="0"/>
          <w:color w:val="000000"/>
          <w:sz w:val="32"/>
          <w:szCs w:val="32"/>
          <w:lang w:val="en-US" w:eastAsia="zh-CN"/>
        </w:rPr>
        <w:t>100738</w:t>
      </w:r>
      <w:r>
        <w:rPr>
          <w:rFonts w:hint="eastAsia" w:ascii="仿宋" w:hAnsi="仿宋" w:eastAsia="仿宋"/>
          <w:b w:val="0"/>
          <w:bCs w:val="0"/>
          <w:color w:val="000000"/>
          <w:sz w:val="32"/>
          <w:szCs w:val="32"/>
        </w:rPr>
        <w:t>万元，同比</w:t>
      </w:r>
      <w:r>
        <w:rPr>
          <w:rFonts w:hint="eastAsia" w:ascii="仿宋" w:hAnsi="仿宋" w:eastAsia="仿宋"/>
          <w:b w:val="0"/>
          <w:bCs w:val="0"/>
          <w:color w:val="000000"/>
          <w:sz w:val="32"/>
          <w:szCs w:val="32"/>
          <w:lang w:val="en-US" w:eastAsia="zh-CN"/>
        </w:rPr>
        <w:t>下降3.61</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rPr>
      </w:pPr>
      <w:r>
        <w:rPr>
          <w:rFonts w:hint="eastAsia" w:ascii="仿宋" w:hAnsi="仿宋" w:eastAsia="仿宋"/>
          <w:b w:val="0"/>
          <w:bCs w:val="0"/>
          <w:color w:val="000000"/>
          <w:sz w:val="32"/>
          <w:szCs w:val="32"/>
        </w:rPr>
        <w:t>节能环保支出</w:t>
      </w:r>
      <w:r>
        <w:rPr>
          <w:rFonts w:hint="eastAsia" w:ascii="仿宋" w:hAnsi="仿宋" w:eastAsia="仿宋"/>
          <w:b w:val="0"/>
          <w:bCs w:val="0"/>
          <w:color w:val="000000"/>
          <w:sz w:val="32"/>
          <w:szCs w:val="32"/>
          <w:lang w:val="en-US" w:eastAsia="zh-CN"/>
        </w:rPr>
        <w:t>11737</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154.1</w:t>
      </w:r>
      <w:r>
        <w:rPr>
          <w:rFonts w:hint="eastAsia" w:ascii="仿宋" w:hAnsi="仿宋" w:eastAsia="仿宋"/>
          <w:b w:val="0"/>
          <w:bCs w:val="0"/>
          <w:color w:val="000000"/>
          <w:sz w:val="32"/>
          <w:szCs w:val="32"/>
        </w:rPr>
        <w:t>%；</w:t>
      </w:r>
    </w:p>
    <w:p>
      <w:pPr>
        <w:keepNext w:val="0"/>
        <w:keepLines w:val="0"/>
        <w:pageBreakBefore w:val="0"/>
        <w:kinsoku/>
        <w:wordWrap/>
        <w:overflowPunct/>
        <w:topLinePunct w:val="0"/>
        <w:autoSpaceDE/>
        <w:bidi w:val="0"/>
        <w:spacing w:line="640" w:lineRule="exact"/>
        <w:ind w:right="0" w:rightChars="0" w:firstLine="640" w:firstLineChars="200"/>
        <w:jc w:val="both"/>
        <w:textAlignment w:val="auto"/>
        <w:outlineLvl w:val="9"/>
        <w:rPr>
          <w:rFonts w:hint="eastAsia" w:ascii="仿宋" w:hAnsi="仿宋" w:eastAsia="仿宋"/>
          <w:b w:val="0"/>
          <w:bCs w:val="0"/>
          <w:color w:val="000000"/>
          <w:sz w:val="32"/>
          <w:szCs w:val="32"/>
          <w:lang w:eastAsia="zh-CN"/>
        </w:rPr>
      </w:pPr>
      <w:r>
        <w:rPr>
          <w:rFonts w:hint="eastAsia" w:ascii="仿宋" w:hAnsi="仿宋" w:eastAsia="仿宋"/>
          <w:b w:val="0"/>
          <w:bCs w:val="0"/>
          <w:color w:val="000000"/>
          <w:sz w:val="32"/>
          <w:szCs w:val="32"/>
        </w:rPr>
        <w:t>城乡社区支出</w:t>
      </w:r>
      <w:r>
        <w:rPr>
          <w:rFonts w:hint="eastAsia" w:ascii="仿宋" w:hAnsi="仿宋" w:eastAsia="仿宋"/>
          <w:b w:val="0"/>
          <w:bCs w:val="0"/>
          <w:color w:val="000000"/>
          <w:sz w:val="32"/>
          <w:szCs w:val="32"/>
          <w:lang w:val="en-US" w:eastAsia="zh-CN"/>
        </w:rPr>
        <w:t>51029</w:t>
      </w:r>
      <w:r>
        <w:rPr>
          <w:rFonts w:hint="eastAsia" w:ascii="仿宋" w:hAnsi="仿宋" w:eastAsia="仿宋"/>
          <w:b w:val="0"/>
          <w:bCs w:val="0"/>
          <w:color w:val="000000"/>
          <w:sz w:val="32"/>
          <w:szCs w:val="32"/>
        </w:rPr>
        <w:t>万元，同比增长</w:t>
      </w:r>
      <w:r>
        <w:rPr>
          <w:rFonts w:hint="eastAsia" w:ascii="仿宋" w:hAnsi="仿宋" w:eastAsia="仿宋"/>
          <w:b w:val="0"/>
          <w:bCs w:val="0"/>
          <w:color w:val="000000"/>
          <w:sz w:val="32"/>
          <w:szCs w:val="32"/>
          <w:lang w:val="en-US" w:eastAsia="zh-CN"/>
        </w:rPr>
        <w:t>43.5</w:t>
      </w:r>
      <w:r>
        <w:rPr>
          <w:rFonts w:hint="eastAsia" w:ascii="仿宋" w:hAnsi="仿宋" w:eastAsia="仿宋"/>
          <w:b w:val="0"/>
          <w:bCs w:val="0"/>
          <w:color w:val="000000"/>
          <w:sz w:val="32"/>
          <w:szCs w:val="32"/>
        </w:rPr>
        <w:t>%</w:t>
      </w:r>
      <w:r>
        <w:rPr>
          <w:rFonts w:hint="eastAsia" w:ascii="仿宋" w:hAnsi="仿宋" w:eastAsia="仿宋"/>
          <w:b w:val="0"/>
          <w:bCs w:val="0"/>
          <w:color w:val="000000"/>
          <w:sz w:val="32"/>
          <w:szCs w:val="32"/>
          <w:lang w:eastAsia="zh-CN"/>
        </w:rPr>
        <w:t>。</w:t>
      </w:r>
    </w:p>
    <w:p>
      <w:pPr>
        <w:keepNext w:val="0"/>
        <w:keepLines w:val="0"/>
        <w:pageBreakBefore w:val="0"/>
        <w:kinsoku/>
        <w:wordWrap/>
        <w:overflowPunct/>
        <w:topLinePunct w:val="0"/>
        <w:bidi w:val="0"/>
        <w:spacing w:line="640" w:lineRule="exact"/>
        <w:ind w:right="0" w:rightChars="0" w:firstLine="630" w:firstLineChars="196"/>
        <w:textAlignment w:val="auto"/>
        <w:outlineLvl w:val="9"/>
        <w:rPr>
          <w:rFonts w:hint="eastAsia" w:ascii="楷体" w:hAnsi="楷体" w:eastAsia="楷体" w:cs="楷体"/>
          <w:b/>
          <w:color w:val="000000"/>
          <w:sz w:val="32"/>
          <w:szCs w:val="32"/>
        </w:rPr>
      </w:pPr>
      <w:r>
        <w:rPr>
          <w:rFonts w:hint="eastAsia" w:ascii="楷体" w:hAnsi="楷体" w:eastAsia="楷体" w:cs="楷体"/>
          <w:b/>
          <w:color w:val="000000"/>
          <w:sz w:val="32"/>
          <w:szCs w:val="32"/>
        </w:rPr>
        <w:t>（三）</w:t>
      </w:r>
      <w:r>
        <w:rPr>
          <w:rFonts w:hint="eastAsia" w:ascii="楷体" w:hAnsi="楷体" w:eastAsia="楷体" w:cs="楷体"/>
          <w:b/>
          <w:color w:val="000000"/>
          <w:sz w:val="32"/>
          <w:szCs w:val="32"/>
          <w:lang w:eastAsia="zh-CN"/>
        </w:rPr>
        <w:t>20</w:t>
      </w:r>
      <w:r>
        <w:rPr>
          <w:rFonts w:hint="eastAsia" w:ascii="楷体" w:hAnsi="楷体" w:eastAsia="楷体" w:cs="楷体"/>
          <w:b/>
          <w:color w:val="000000"/>
          <w:sz w:val="32"/>
          <w:szCs w:val="32"/>
          <w:lang w:val="en-US" w:eastAsia="zh-CN"/>
        </w:rPr>
        <w:t>20</w:t>
      </w:r>
      <w:r>
        <w:rPr>
          <w:rFonts w:hint="eastAsia" w:ascii="楷体" w:hAnsi="楷体" w:eastAsia="楷体" w:cs="楷体"/>
          <w:b/>
          <w:color w:val="000000"/>
          <w:sz w:val="32"/>
          <w:szCs w:val="32"/>
          <w:lang w:eastAsia="zh-CN"/>
        </w:rPr>
        <w:t>年</w:t>
      </w:r>
      <w:r>
        <w:rPr>
          <w:rFonts w:hint="eastAsia" w:ascii="楷体" w:hAnsi="楷体" w:eastAsia="楷体" w:cs="楷体"/>
          <w:b/>
          <w:color w:val="000000"/>
          <w:sz w:val="32"/>
          <w:szCs w:val="32"/>
        </w:rPr>
        <w:t>财政</w:t>
      </w:r>
      <w:r>
        <w:rPr>
          <w:rFonts w:hint="eastAsia" w:ascii="楷体" w:hAnsi="楷体" w:eastAsia="楷体" w:cs="楷体"/>
          <w:b/>
          <w:color w:val="000000"/>
          <w:sz w:val="32"/>
          <w:szCs w:val="32"/>
          <w:lang w:val="en-US" w:eastAsia="zh-CN"/>
        </w:rPr>
        <w:t>一般</w:t>
      </w:r>
      <w:r>
        <w:rPr>
          <w:rFonts w:hint="eastAsia" w:ascii="楷体" w:hAnsi="楷体" w:eastAsia="楷体" w:cs="楷体"/>
          <w:b/>
          <w:color w:val="000000"/>
          <w:sz w:val="32"/>
          <w:szCs w:val="32"/>
        </w:rPr>
        <w:t>预算收支平衡情况</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lang w:eastAsia="zh-CN"/>
        </w:rPr>
        <w:t>20</w:t>
      </w:r>
      <w:r>
        <w:rPr>
          <w:rFonts w:hint="eastAsia" w:ascii="仿宋" w:hAnsi="仿宋" w:eastAsia="仿宋"/>
          <w:color w:val="000000"/>
          <w:sz w:val="32"/>
          <w:szCs w:val="32"/>
          <w:lang w:val="en-US" w:eastAsia="zh-CN"/>
        </w:rPr>
        <w:t>20</w:t>
      </w:r>
      <w:r>
        <w:rPr>
          <w:rFonts w:hint="eastAsia" w:ascii="仿宋" w:hAnsi="仿宋" w:eastAsia="仿宋"/>
          <w:color w:val="000000"/>
          <w:sz w:val="32"/>
          <w:szCs w:val="32"/>
          <w:lang w:eastAsia="zh-CN"/>
        </w:rPr>
        <w:t>年</w:t>
      </w:r>
      <w:r>
        <w:rPr>
          <w:rFonts w:hint="eastAsia" w:ascii="仿宋" w:hAnsi="仿宋" w:eastAsia="仿宋"/>
          <w:color w:val="000000"/>
          <w:sz w:val="32"/>
          <w:szCs w:val="32"/>
        </w:rPr>
        <w:t>，</w:t>
      </w:r>
      <w:r>
        <w:rPr>
          <w:rFonts w:hint="eastAsia" w:ascii="仿宋" w:hAnsi="仿宋" w:eastAsia="仿宋"/>
          <w:color w:val="000000"/>
          <w:sz w:val="32"/>
          <w:szCs w:val="32"/>
          <w:lang w:val="en-US" w:eastAsia="zh-CN"/>
        </w:rPr>
        <w:t>地方一般公共预算</w:t>
      </w:r>
      <w:r>
        <w:rPr>
          <w:rFonts w:hint="eastAsia" w:ascii="仿宋" w:hAnsi="仿宋" w:eastAsia="仿宋"/>
          <w:color w:val="000000"/>
          <w:sz w:val="32"/>
          <w:szCs w:val="32"/>
        </w:rPr>
        <w:t>收入</w:t>
      </w:r>
      <w:r>
        <w:rPr>
          <w:rFonts w:hint="eastAsia" w:ascii="仿宋_GB2312" w:hAnsi="仿宋_GB2312" w:eastAsia="仿宋_GB2312" w:cs="仿宋_GB2312"/>
          <w:color w:val="auto"/>
          <w:sz w:val="32"/>
          <w:szCs w:val="32"/>
          <w:lang w:val="en-US" w:eastAsia="zh-CN"/>
        </w:rPr>
        <w:t>114131</w:t>
      </w:r>
      <w:r>
        <w:rPr>
          <w:rFonts w:hint="eastAsia" w:ascii="仿宋" w:hAnsi="仿宋" w:eastAsia="仿宋"/>
          <w:color w:val="000000"/>
          <w:sz w:val="32"/>
          <w:szCs w:val="32"/>
        </w:rPr>
        <w:t>万元，</w:t>
      </w:r>
      <w:r>
        <w:rPr>
          <w:rFonts w:hint="eastAsia" w:ascii="仿宋" w:hAnsi="仿宋" w:eastAsia="仿宋"/>
          <w:color w:val="000000"/>
          <w:sz w:val="32"/>
          <w:szCs w:val="32"/>
          <w:lang w:val="en-US" w:eastAsia="zh-CN"/>
        </w:rPr>
        <w:t>上级补助541901万元</w:t>
      </w:r>
      <w:r>
        <w:rPr>
          <w:rFonts w:hint="eastAsia" w:ascii="仿宋" w:hAnsi="仿宋" w:eastAsia="仿宋"/>
          <w:color w:val="000000"/>
          <w:sz w:val="32"/>
          <w:szCs w:val="32"/>
        </w:rPr>
        <w:t>，调入资金</w:t>
      </w:r>
      <w:r>
        <w:rPr>
          <w:rFonts w:hint="eastAsia" w:ascii="仿宋" w:hAnsi="仿宋" w:eastAsia="仿宋"/>
          <w:color w:val="000000"/>
          <w:sz w:val="32"/>
          <w:szCs w:val="32"/>
          <w:lang w:val="en-US" w:eastAsia="zh-CN"/>
        </w:rPr>
        <w:t>141295</w:t>
      </w:r>
      <w:r>
        <w:rPr>
          <w:rFonts w:hint="eastAsia" w:ascii="仿宋" w:hAnsi="仿宋" w:eastAsia="仿宋"/>
          <w:color w:val="000000"/>
          <w:sz w:val="32"/>
          <w:szCs w:val="32"/>
        </w:rPr>
        <w:t>万元，</w:t>
      </w:r>
      <w:r>
        <w:rPr>
          <w:rFonts w:hint="eastAsia" w:ascii="仿宋" w:hAnsi="仿宋" w:eastAsia="仿宋"/>
          <w:color w:val="000000"/>
          <w:sz w:val="32"/>
          <w:szCs w:val="32"/>
          <w:lang w:val="en-US" w:eastAsia="zh-CN"/>
        </w:rPr>
        <w:t>债务转贷收入39838      万</w:t>
      </w:r>
      <w:r>
        <w:rPr>
          <w:rFonts w:hint="eastAsia" w:ascii="仿宋" w:hAnsi="仿宋" w:eastAsia="仿宋"/>
          <w:color w:val="auto"/>
          <w:sz w:val="32"/>
          <w:szCs w:val="32"/>
          <w:lang w:val="en-US" w:eastAsia="zh-CN"/>
        </w:rPr>
        <w:t>元，上年结余1082万元，动用预算调节基金14548万元，</w:t>
      </w:r>
      <w:r>
        <w:rPr>
          <w:rFonts w:hint="eastAsia" w:ascii="仿宋" w:hAnsi="仿宋" w:eastAsia="仿宋"/>
          <w:color w:val="auto"/>
          <w:sz w:val="32"/>
          <w:szCs w:val="32"/>
        </w:rPr>
        <w:t>收入总</w:t>
      </w:r>
      <w:r>
        <w:rPr>
          <w:rFonts w:hint="eastAsia" w:ascii="仿宋" w:hAnsi="仿宋" w:eastAsia="仿宋"/>
          <w:color w:val="000000"/>
          <w:sz w:val="32"/>
          <w:szCs w:val="32"/>
        </w:rPr>
        <w:t>计为</w:t>
      </w:r>
      <w:r>
        <w:rPr>
          <w:rFonts w:hint="eastAsia" w:ascii="仿宋" w:hAnsi="仿宋" w:eastAsia="仿宋"/>
          <w:color w:val="000000"/>
          <w:sz w:val="32"/>
          <w:szCs w:val="32"/>
          <w:lang w:val="en-US" w:eastAsia="zh-CN"/>
        </w:rPr>
        <w:t>852795</w:t>
      </w:r>
      <w:r>
        <w:rPr>
          <w:rFonts w:hint="eastAsia" w:ascii="仿宋" w:hAnsi="仿宋" w:eastAsia="仿宋"/>
          <w:color w:val="000000"/>
          <w:sz w:val="32"/>
          <w:szCs w:val="32"/>
        </w:rPr>
        <w:t>万元。</w:t>
      </w:r>
      <w:r>
        <w:rPr>
          <w:rFonts w:hint="eastAsia" w:ascii="仿宋" w:hAnsi="仿宋" w:eastAsia="仿宋"/>
          <w:color w:val="000000"/>
          <w:sz w:val="32"/>
          <w:szCs w:val="32"/>
          <w:lang w:val="en-US" w:eastAsia="zh-CN"/>
        </w:rPr>
        <w:t>地方</w:t>
      </w:r>
      <w:r>
        <w:rPr>
          <w:rFonts w:hint="eastAsia" w:ascii="仿宋" w:hAnsi="仿宋" w:eastAsia="仿宋"/>
          <w:color w:val="000000"/>
          <w:sz w:val="32"/>
          <w:szCs w:val="32"/>
        </w:rPr>
        <w:t>一般公共预算支出</w:t>
      </w:r>
      <w:r>
        <w:rPr>
          <w:rFonts w:hint="eastAsia" w:ascii="仿宋" w:hAnsi="仿宋" w:eastAsia="仿宋"/>
          <w:color w:val="000000"/>
          <w:sz w:val="32"/>
          <w:szCs w:val="32"/>
          <w:lang w:val="en-US" w:eastAsia="zh-CN"/>
        </w:rPr>
        <w:t>813870</w:t>
      </w:r>
      <w:r>
        <w:rPr>
          <w:rFonts w:hint="eastAsia" w:ascii="仿宋" w:hAnsi="仿宋" w:eastAsia="仿宋"/>
          <w:color w:val="000000"/>
          <w:sz w:val="32"/>
          <w:szCs w:val="32"/>
        </w:rPr>
        <w:t>万元，上解上级支出</w:t>
      </w:r>
      <w:r>
        <w:rPr>
          <w:rFonts w:hint="eastAsia" w:ascii="仿宋" w:hAnsi="仿宋" w:eastAsia="仿宋"/>
          <w:color w:val="000000"/>
          <w:sz w:val="32"/>
          <w:szCs w:val="32"/>
          <w:lang w:val="en-US" w:eastAsia="zh-CN"/>
        </w:rPr>
        <w:t>21638</w:t>
      </w:r>
      <w:r>
        <w:rPr>
          <w:rFonts w:hint="eastAsia" w:ascii="仿宋" w:hAnsi="仿宋" w:eastAsia="仿宋"/>
          <w:color w:val="000000"/>
          <w:sz w:val="32"/>
          <w:szCs w:val="32"/>
        </w:rPr>
        <w:t>万元，</w:t>
      </w:r>
      <w:r>
        <w:rPr>
          <w:rFonts w:hint="eastAsia" w:ascii="仿宋" w:hAnsi="仿宋" w:eastAsia="仿宋"/>
          <w:color w:val="000000"/>
          <w:sz w:val="32"/>
          <w:szCs w:val="32"/>
          <w:lang w:val="en-US" w:eastAsia="zh-CN"/>
        </w:rPr>
        <w:t>安排预算稳定调节基金7669万元，</w:t>
      </w:r>
      <w:r>
        <w:rPr>
          <w:rFonts w:hint="eastAsia" w:ascii="仿宋" w:hAnsi="仿宋" w:eastAsia="仿宋"/>
          <w:color w:val="000000"/>
          <w:sz w:val="32"/>
          <w:szCs w:val="32"/>
        </w:rPr>
        <w:t>债务还本支出</w:t>
      </w:r>
      <w:r>
        <w:rPr>
          <w:rFonts w:hint="eastAsia" w:ascii="仿宋" w:hAnsi="仿宋" w:eastAsia="仿宋"/>
          <w:color w:val="000000"/>
          <w:sz w:val="32"/>
          <w:szCs w:val="32"/>
          <w:lang w:val="en-US" w:eastAsia="zh-CN"/>
        </w:rPr>
        <w:t>4838</w:t>
      </w:r>
      <w:r>
        <w:rPr>
          <w:rFonts w:hint="eastAsia" w:ascii="仿宋" w:hAnsi="仿宋" w:eastAsia="仿宋"/>
          <w:color w:val="000000"/>
          <w:sz w:val="32"/>
          <w:szCs w:val="32"/>
        </w:rPr>
        <w:t>万元，</w:t>
      </w:r>
      <w:r>
        <w:rPr>
          <w:rFonts w:hint="eastAsia" w:ascii="仿宋" w:hAnsi="仿宋" w:eastAsia="仿宋"/>
          <w:color w:val="000000"/>
          <w:sz w:val="32"/>
          <w:szCs w:val="32"/>
          <w:lang w:val="en-US" w:eastAsia="zh-CN"/>
        </w:rPr>
        <w:t>年终结余4780万元</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highlight w:val="none"/>
        </w:rPr>
      </w:pPr>
      <w:r>
        <w:rPr>
          <w:rFonts w:hint="eastAsia" w:ascii="仿宋" w:hAnsi="仿宋" w:eastAsia="仿宋" w:cs="宋体"/>
          <w:color w:val="000000"/>
          <w:kern w:val="0"/>
          <w:sz w:val="32"/>
          <w:szCs w:val="32"/>
        </w:rPr>
        <w:t>纵观</w:t>
      </w:r>
      <w:r>
        <w:rPr>
          <w:rFonts w:hint="eastAsia" w:ascii="仿宋" w:hAnsi="仿宋" w:eastAsia="仿宋" w:cs="宋体"/>
          <w:color w:val="000000"/>
          <w:kern w:val="0"/>
          <w:sz w:val="32"/>
          <w:szCs w:val="32"/>
          <w:lang w:eastAsia="zh-CN"/>
        </w:rPr>
        <w:t>20</w:t>
      </w:r>
      <w:r>
        <w:rPr>
          <w:rFonts w:hint="eastAsia" w:ascii="仿宋" w:hAnsi="仿宋" w:eastAsia="仿宋" w:cs="宋体"/>
          <w:color w:val="000000"/>
          <w:kern w:val="0"/>
          <w:sz w:val="32"/>
          <w:szCs w:val="32"/>
          <w:lang w:val="en-US" w:eastAsia="zh-CN"/>
        </w:rPr>
        <w:t>20</w:t>
      </w:r>
      <w:r>
        <w:rPr>
          <w:rFonts w:hint="eastAsia" w:ascii="仿宋" w:hAnsi="仿宋" w:eastAsia="仿宋" w:cs="宋体"/>
          <w:color w:val="000000"/>
          <w:kern w:val="0"/>
          <w:sz w:val="32"/>
          <w:szCs w:val="32"/>
          <w:lang w:eastAsia="zh-CN"/>
        </w:rPr>
        <w:t>年</w:t>
      </w:r>
      <w:r>
        <w:rPr>
          <w:rFonts w:hint="eastAsia" w:ascii="仿宋" w:hAnsi="仿宋" w:eastAsia="仿宋" w:cs="宋体"/>
          <w:color w:val="000000"/>
          <w:kern w:val="0"/>
          <w:sz w:val="32"/>
          <w:szCs w:val="32"/>
        </w:rPr>
        <w:t>全</w:t>
      </w:r>
      <w:r>
        <w:rPr>
          <w:rFonts w:hint="eastAsia" w:ascii="仿宋" w:hAnsi="仿宋" w:eastAsia="仿宋" w:cs="宋体"/>
          <w:color w:val="000000"/>
          <w:kern w:val="0"/>
          <w:sz w:val="32"/>
          <w:szCs w:val="32"/>
          <w:lang w:val="en-US" w:eastAsia="zh-CN"/>
        </w:rPr>
        <w:t>区</w:t>
      </w:r>
      <w:r>
        <w:rPr>
          <w:rFonts w:hint="eastAsia" w:ascii="仿宋" w:hAnsi="仿宋" w:eastAsia="仿宋" w:cs="宋体"/>
          <w:color w:val="000000"/>
          <w:kern w:val="0"/>
          <w:sz w:val="32"/>
          <w:szCs w:val="32"/>
        </w:rPr>
        <w:t>财政预算执行情况，可以概括为：</w:t>
      </w:r>
      <w:r>
        <w:rPr>
          <w:rFonts w:hint="eastAsia" w:ascii="仿宋" w:hAnsi="仿宋" w:eastAsia="仿宋" w:cs="宋体"/>
          <w:color w:val="000000"/>
          <w:kern w:val="0"/>
          <w:sz w:val="32"/>
          <w:szCs w:val="32"/>
          <w:highlight w:val="none"/>
        </w:rPr>
        <w:t>财政收入稳中有增、稳中向好；财政支出结构优化，支出增幅加大</w:t>
      </w:r>
      <w:r>
        <w:rPr>
          <w:rFonts w:hint="eastAsia" w:ascii="仿宋" w:hAnsi="仿宋" w:eastAsia="仿宋"/>
          <w:color w:val="000000"/>
          <w:sz w:val="32"/>
          <w:szCs w:val="32"/>
          <w:highlight w:val="none"/>
        </w:rPr>
        <w:t>。</w:t>
      </w:r>
    </w:p>
    <w:p>
      <w:pPr>
        <w:keepNext w:val="0"/>
        <w:keepLines w:val="0"/>
        <w:pageBreakBefore w:val="0"/>
        <w:widowControl/>
        <w:kinsoku/>
        <w:wordWrap/>
        <w:overflowPunct/>
        <w:topLinePunct w:val="0"/>
        <w:bidi w:val="0"/>
        <w:spacing w:line="640" w:lineRule="exact"/>
        <w:ind w:right="0" w:rightChars="0" w:firstLine="630" w:firstLineChars="196"/>
        <w:textAlignment w:val="auto"/>
        <w:outlineLvl w:val="9"/>
        <w:rPr>
          <w:rFonts w:hint="eastAsia" w:ascii="黑体" w:hAnsi="黑体" w:eastAsia="黑体" w:cs="黑体"/>
          <w:b/>
          <w:bCs w:val="0"/>
          <w:color w:val="000000"/>
          <w:kern w:val="0"/>
          <w:sz w:val="32"/>
          <w:szCs w:val="32"/>
        </w:rPr>
      </w:pPr>
      <w:r>
        <w:rPr>
          <w:rFonts w:hint="eastAsia" w:ascii="黑体" w:hAnsi="黑体" w:eastAsia="黑体" w:cs="黑体"/>
          <w:b/>
          <w:bCs w:val="0"/>
          <w:color w:val="000000"/>
          <w:kern w:val="0"/>
          <w:sz w:val="32"/>
          <w:szCs w:val="32"/>
        </w:rPr>
        <w:t>二、</w:t>
      </w:r>
      <w:r>
        <w:rPr>
          <w:rFonts w:hint="eastAsia" w:ascii="黑体" w:hAnsi="黑体" w:eastAsia="黑体" w:cs="黑体"/>
          <w:b/>
          <w:bCs w:val="0"/>
          <w:color w:val="000000"/>
          <w:kern w:val="0"/>
          <w:sz w:val="32"/>
          <w:szCs w:val="32"/>
          <w:lang w:eastAsia="zh-CN"/>
        </w:rPr>
        <w:t>20</w:t>
      </w:r>
      <w:r>
        <w:rPr>
          <w:rFonts w:hint="eastAsia" w:ascii="黑体" w:hAnsi="黑体" w:eastAsia="黑体" w:cs="黑体"/>
          <w:b/>
          <w:bCs w:val="0"/>
          <w:color w:val="000000"/>
          <w:kern w:val="0"/>
          <w:sz w:val="32"/>
          <w:szCs w:val="32"/>
          <w:lang w:val="en-US" w:eastAsia="zh-CN"/>
        </w:rPr>
        <w:t>21</w:t>
      </w:r>
      <w:r>
        <w:rPr>
          <w:rFonts w:hint="eastAsia" w:ascii="黑体" w:hAnsi="黑体" w:eastAsia="黑体" w:cs="黑体"/>
          <w:b/>
          <w:bCs w:val="0"/>
          <w:color w:val="000000"/>
          <w:kern w:val="0"/>
          <w:sz w:val="32"/>
          <w:szCs w:val="32"/>
          <w:lang w:eastAsia="zh-CN"/>
        </w:rPr>
        <w:t>年</w:t>
      </w:r>
      <w:r>
        <w:rPr>
          <w:rFonts w:hint="eastAsia" w:ascii="黑体" w:hAnsi="黑体" w:eastAsia="黑体" w:cs="黑体"/>
          <w:b/>
          <w:bCs w:val="0"/>
          <w:color w:val="000000"/>
          <w:kern w:val="0"/>
          <w:sz w:val="32"/>
          <w:szCs w:val="32"/>
        </w:rPr>
        <w:t>上半年财政预算执行情况</w:t>
      </w:r>
    </w:p>
    <w:p>
      <w:pPr>
        <w:keepNext w:val="0"/>
        <w:keepLines w:val="0"/>
        <w:pageBreakBefore w:val="0"/>
        <w:widowControl w:val="0"/>
        <w:kinsoku/>
        <w:wordWrap/>
        <w:overflowPunct/>
        <w:topLinePunct w:val="0"/>
        <w:autoSpaceDE/>
        <w:autoSpaceDN/>
        <w:bidi w:val="0"/>
        <w:adjustRightInd/>
        <w:snapToGrid/>
        <w:spacing w:line="640" w:lineRule="exact"/>
        <w:ind w:leftChars="0" w:firstLine="640" w:firstLineChars="200"/>
        <w:jc w:val="both"/>
        <w:textAlignment w:val="auto"/>
        <w:outlineLvl w:val="9"/>
        <w:rPr>
          <w:rFonts w:hint="eastAsia" w:ascii="仿宋" w:hAnsi="仿宋" w:eastAsia="仿宋"/>
          <w:color w:val="000000"/>
          <w:sz w:val="32"/>
          <w:szCs w:val="32"/>
        </w:rPr>
      </w:pPr>
      <w:r>
        <w:rPr>
          <w:rFonts w:hint="eastAsia" w:ascii="仿宋" w:hAnsi="仿宋" w:eastAsia="仿宋" w:cs="仿宋"/>
          <w:b w:val="0"/>
          <w:bCs w:val="0"/>
          <w:color w:val="auto"/>
          <w:kern w:val="0"/>
          <w:sz w:val="32"/>
          <w:szCs w:val="32"/>
          <w:lang w:val="en-US" w:eastAsia="zh-CN" w:bidi="ar-SA"/>
        </w:rPr>
        <w:t>2021年受经济下行压力和国家减税降费政策影响，加之2020年新冠肺炎疫情影响，淮阳生产企</w:t>
      </w:r>
      <w:r>
        <w:rPr>
          <w:rFonts w:hint="eastAsia" w:ascii="仿宋" w:hAnsi="仿宋" w:eastAsia="仿宋" w:cs="仿宋"/>
          <w:color w:val="auto"/>
          <w:kern w:val="0"/>
          <w:sz w:val="32"/>
          <w:szCs w:val="32"/>
          <w:lang w:val="en-US" w:eastAsia="zh-CN" w:bidi="ar-SA"/>
        </w:rPr>
        <w:t>业、商贸服务复工复产周期长，旅游行业受到影响；受上述因素叠加影响，给组织财税收入带来新的更大困难。面对严峻复杂形势，区委、区政府高位统筹，科学应变，加强对财税工作的领导；财政税务部门坚决贯彻落实区委、区政府的决策部署，坚定信心不动摇，齐心协力抓征管。财税部门面对压力，蓄</w:t>
      </w:r>
      <w:r>
        <w:rPr>
          <w:rFonts w:hint="eastAsia" w:ascii="仿宋" w:hAnsi="仿宋" w:eastAsia="仿宋" w:cs="仿宋"/>
          <w:b w:val="0"/>
          <w:bCs w:val="0"/>
          <w:color w:val="auto"/>
          <w:kern w:val="0"/>
          <w:sz w:val="32"/>
          <w:szCs w:val="32"/>
          <w:lang w:val="en-US" w:eastAsia="zh-CN" w:bidi="ar-SA"/>
        </w:rPr>
        <w:t>势发力，上半年完成年度预算安排金额的近60%，收入质量得到全面提升</w:t>
      </w:r>
      <w:r>
        <w:rPr>
          <w:rFonts w:hint="eastAsia" w:ascii="方正楷体简体" w:hAnsi="方正楷体简体" w:eastAsia="方正楷体简体" w:cs="方正楷体简体"/>
          <w:b w:val="0"/>
          <w:bCs w:val="0"/>
          <w:color w:val="auto"/>
          <w:kern w:val="0"/>
          <w:sz w:val="32"/>
          <w:szCs w:val="32"/>
          <w:lang w:val="en-US" w:eastAsia="zh-CN" w:bidi="ar-SA"/>
        </w:rPr>
        <w:t>。</w:t>
      </w:r>
    </w:p>
    <w:p>
      <w:pPr>
        <w:keepNext w:val="0"/>
        <w:keepLines w:val="0"/>
        <w:pageBreakBefore w:val="0"/>
        <w:widowControl w:val="0"/>
        <w:numPr>
          <w:ilvl w:val="0"/>
          <w:numId w:val="0"/>
        </w:numPr>
        <w:kinsoku/>
        <w:wordWrap/>
        <w:overflowPunct/>
        <w:topLinePunct w:val="0"/>
        <w:autoSpaceDE/>
        <w:bidi w:val="0"/>
        <w:adjustRightInd/>
        <w:snapToGrid/>
        <w:spacing w:line="640" w:lineRule="exact"/>
        <w:ind w:right="0" w:rightChars="0" w:firstLine="643" w:firstLineChars="200"/>
        <w:textAlignment w:val="auto"/>
        <w:outlineLvl w:val="9"/>
        <w:rPr>
          <w:rFonts w:hint="eastAsia" w:ascii="楷体" w:hAnsi="楷体" w:eastAsia="楷体" w:cs="楷体"/>
          <w:b/>
          <w:color w:val="000000"/>
          <w:sz w:val="32"/>
          <w:szCs w:val="32"/>
        </w:rPr>
      </w:pPr>
      <w:r>
        <w:rPr>
          <w:rFonts w:hint="eastAsia" w:ascii="楷体" w:hAnsi="楷体" w:eastAsia="楷体" w:cs="楷体"/>
          <w:b/>
          <w:color w:val="000000"/>
          <w:sz w:val="32"/>
          <w:szCs w:val="32"/>
          <w:lang w:eastAsia="zh-CN"/>
        </w:rPr>
        <w:t>（一）</w:t>
      </w:r>
      <w:r>
        <w:rPr>
          <w:rFonts w:hint="eastAsia" w:ascii="楷体" w:hAnsi="楷体" w:eastAsia="楷体" w:cs="楷体"/>
          <w:b/>
          <w:color w:val="000000"/>
          <w:sz w:val="32"/>
          <w:szCs w:val="32"/>
          <w:lang w:val="en-US" w:eastAsia="zh-CN"/>
        </w:rPr>
        <w:t>地方</w:t>
      </w:r>
      <w:r>
        <w:rPr>
          <w:rFonts w:hint="eastAsia" w:ascii="楷体" w:hAnsi="楷体" w:eastAsia="楷体" w:cs="楷体"/>
          <w:b/>
          <w:color w:val="000000"/>
          <w:sz w:val="32"/>
          <w:szCs w:val="32"/>
        </w:rPr>
        <w:t>公共财政预算</w:t>
      </w:r>
      <w:r>
        <w:rPr>
          <w:rFonts w:hint="eastAsia" w:ascii="楷体" w:hAnsi="楷体" w:eastAsia="楷体" w:cs="楷体"/>
          <w:b/>
          <w:color w:val="000000"/>
          <w:sz w:val="32"/>
          <w:szCs w:val="32"/>
          <w:lang w:val="en-US" w:eastAsia="zh-CN"/>
        </w:rPr>
        <w:t>收支</w:t>
      </w:r>
      <w:r>
        <w:rPr>
          <w:rFonts w:hint="eastAsia" w:ascii="楷体" w:hAnsi="楷体" w:eastAsia="楷体" w:cs="楷体"/>
          <w:b/>
          <w:color w:val="000000"/>
          <w:sz w:val="32"/>
          <w:szCs w:val="32"/>
        </w:rPr>
        <w:t>完成情况</w:t>
      </w:r>
    </w:p>
    <w:p>
      <w:pPr>
        <w:pStyle w:val="2"/>
        <w:keepNext w:val="0"/>
        <w:keepLines w:val="0"/>
        <w:pageBreakBefore w:val="0"/>
        <w:widowControl w:val="0"/>
        <w:numPr>
          <w:ilvl w:val="0"/>
          <w:numId w:val="0"/>
        </w:numPr>
        <w:kinsoku/>
        <w:wordWrap/>
        <w:overflowPunct/>
        <w:topLinePunct w:val="0"/>
        <w:autoSpaceDE/>
        <w:bidi w:val="0"/>
        <w:adjustRightInd/>
        <w:snapToGrid/>
        <w:spacing w:line="640" w:lineRule="exact"/>
        <w:ind w:left="800" w:leftChars="0"/>
        <w:textAlignment w:val="auto"/>
        <w:outlineLvl w:val="9"/>
        <w:rPr>
          <w:rFonts w:hint="eastAsia" w:ascii="仿宋" w:hAnsi="仿宋" w:eastAsia="仿宋" w:cs="仿宋"/>
          <w:b/>
          <w:bCs w:val="0"/>
          <w:color w:val="000000"/>
          <w:kern w:val="2"/>
          <w:sz w:val="32"/>
          <w:szCs w:val="32"/>
          <w:lang w:val="en-US" w:eastAsia="zh-CN" w:bidi="ar-SA"/>
        </w:rPr>
      </w:pPr>
      <w:r>
        <w:rPr>
          <w:rFonts w:hint="eastAsia" w:ascii="仿宋" w:hAnsi="仿宋" w:eastAsia="仿宋" w:cs="仿宋"/>
          <w:b/>
          <w:bCs w:val="0"/>
          <w:color w:val="000000"/>
          <w:kern w:val="2"/>
          <w:sz w:val="32"/>
          <w:szCs w:val="32"/>
          <w:lang w:val="en-US" w:eastAsia="zh-CN" w:bidi="ar-SA"/>
        </w:rPr>
        <w:t>1、一般预算收入完成情况</w:t>
      </w:r>
    </w:p>
    <w:p>
      <w:pPr>
        <w:keepNext w:val="0"/>
        <w:keepLines w:val="0"/>
        <w:pageBreakBefore w:val="0"/>
        <w:widowControl w:val="0"/>
        <w:kinsoku/>
        <w:wordWrap/>
        <w:overflowPunct/>
        <w:topLinePunct w:val="0"/>
        <w:autoSpaceDE/>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bCs/>
          <w:color w:val="000000"/>
          <w:sz w:val="32"/>
          <w:szCs w:val="32"/>
          <w:lang w:val="en-US" w:eastAsia="zh-CN"/>
        </w:rPr>
      </w:pPr>
      <w:r>
        <w:rPr>
          <w:rFonts w:hint="eastAsia" w:ascii="仿宋" w:hAnsi="仿宋" w:eastAsia="仿宋" w:cs="仿宋"/>
          <w:bCs/>
          <w:color w:val="000000"/>
          <w:kern w:val="2"/>
          <w:sz w:val="32"/>
          <w:szCs w:val="32"/>
          <w:lang w:val="en-US" w:eastAsia="zh-CN" w:bidi="ar-SA"/>
        </w:rPr>
        <w:t>2021年，全区一般公共预算收入年初</w:t>
      </w:r>
      <w:r>
        <w:rPr>
          <w:rFonts w:hint="eastAsia" w:ascii="仿宋" w:hAnsi="仿宋" w:eastAsia="仿宋" w:cs="仿宋"/>
          <w:bCs/>
          <w:color w:val="000000"/>
          <w:sz w:val="32"/>
          <w:szCs w:val="32"/>
        </w:rPr>
        <w:t>安排</w:t>
      </w:r>
      <w:r>
        <w:rPr>
          <w:rFonts w:hint="eastAsia" w:ascii="仿宋" w:hAnsi="仿宋" w:eastAsia="仿宋" w:cs="仿宋"/>
          <w:bCs/>
          <w:color w:val="000000"/>
          <w:sz w:val="32"/>
          <w:szCs w:val="32"/>
          <w:lang w:val="en-US" w:eastAsia="zh-CN"/>
        </w:rPr>
        <w:t>122120</w:t>
      </w:r>
      <w:r>
        <w:rPr>
          <w:rFonts w:hint="eastAsia" w:ascii="仿宋" w:hAnsi="仿宋" w:eastAsia="仿宋" w:cs="仿宋"/>
          <w:bCs/>
          <w:color w:val="000000"/>
          <w:sz w:val="32"/>
          <w:szCs w:val="32"/>
        </w:rPr>
        <w:t>万元。</w:t>
      </w:r>
      <w:r>
        <w:rPr>
          <w:rFonts w:hint="eastAsia" w:ascii="仿宋" w:hAnsi="仿宋" w:eastAsia="仿宋" w:cs="仿宋"/>
          <w:bCs/>
          <w:color w:val="000000"/>
          <w:sz w:val="32"/>
          <w:szCs w:val="32"/>
          <w:lang w:val="en-US" w:eastAsia="zh-CN"/>
        </w:rPr>
        <w:t>上半年</w:t>
      </w:r>
      <w:r>
        <w:rPr>
          <w:rFonts w:hint="eastAsia" w:ascii="仿宋" w:hAnsi="仿宋" w:eastAsia="仿宋" w:cs="仿宋"/>
          <w:bCs/>
          <w:color w:val="000000"/>
          <w:sz w:val="32"/>
          <w:szCs w:val="32"/>
        </w:rPr>
        <w:t>累计</w:t>
      </w:r>
      <w:r>
        <w:rPr>
          <w:rFonts w:hint="eastAsia" w:ascii="仿宋" w:hAnsi="仿宋" w:eastAsia="仿宋" w:cs="仿宋"/>
          <w:bCs/>
          <w:color w:val="000000"/>
          <w:kern w:val="0"/>
          <w:sz w:val="32"/>
          <w:szCs w:val="32"/>
        </w:rPr>
        <w:t>完成</w:t>
      </w:r>
      <w:r>
        <w:rPr>
          <w:rFonts w:hint="eastAsia" w:ascii="仿宋" w:hAnsi="仿宋" w:eastAsia="仿宋" w:cs="仿宋"/>
          <w:bCs/>
          <w:color w:val="000000"/>
          <w:kern w:val="0"/>
          <w:sz w:val="32"/>
          <w:szCs w:val="32"/>
          <w:lang w:val="en-US" w:eastAsia="zh-CN"/>
        </w:rPr>
        <w:t>72289</w:t>
      </w:r>
      <w:r>
        <w:rPr>
          <w:rFonts w:hint="eastAsia" w:ascii="仿宋" w:hAnsi="仿宋" w:eastAsia="仿宋" w:cs="仿宋"/>
          <w:bCs/>
          <w:color w:val="000000"/>
          <w:kern w:val="0"/>
          <w:sz w:val="32"/>
          <w:szCs w:val="32"/>
        </w:rPr>
        <w:t>万元</w:t>
      </w:r>
      <w:r>
        <w:rPr>
          <w:rFonts w:hint="eastAsia" w:ascii="仿宋" w:hAnsi="仿宋" w:eastAsia="仿宋" w:cs="仿宋"/>
          <w:bCs/>
          <w:color w:val="000000"/>
          <w:kern w:val="0"/>
          <w:sz w:val="32"/>
          <w:szCs w:val="32"/>
          <w:lang w:val="en-US" w:eastAsia="zh-CN"/>
        </w:rPr>
        <w:t>，为</w:t>
      </w:r>
      <w:r>
        <w:rPr>
          <w:rFonts w:hint="eastAsia" w:ascii="仿宋" w:hAnsi="仿宋" w:eastAsia="仿宋" w:cs="仿宋"/>
          <w:bCs/>
          <w:color w:val="000000"/>
          <w:kern w:val="0"/>
          <w:sz w:val="32"/>
          <w:szCs w:val="32"/>
        </w:rPr>
        <w:t>年度预算的</w:t>
      </w:r>
      <w:r>
        <w:rPr>
          <w:rFonts w:hint="eastAsia" w:ascii="仿宋" w:hAnsi="仿宋" w:eastAsia="仿宋" w:cs="仿宋"/>
          <w:bCs/>
          <w:color w:val="000000"/>
          <w:kern w:val="0"/>
          <w:sz w:val="32"/>
          <w:szCs w:val="32"/>
          <w:lang w:val="en-US" w:eastAsia="zh-CN"/>
        </w:rPr>
        <w:t>59.2</w:t>
      </w:r>
      <w:r>
        <w:rPr>
          <w:rFonts w:hint="eastAsia" w:ascii="仿宋" w:hAnsi="仿宋" w:eastAsia="仿宋" w:cs="仿宋"/>
          <w:bCs/>
          <w:color w:val="000000"/>
          <w:kern w:val="0"/>
          <w:sz w:val="32"/>
          <w:szCs w:val="32"/>
        </w:rPr>
        <w:t>%，同比增长</w:t>
      </w:r>
      <w:r>
        <w:rPr>
          <w:rFonts w:hint="eastAsia" w:ascii="仿宋" w:hAnsi="仿宋" w:eastAsia="仿宋" w:cs="仿宋"/>
          <w:bCs/>
          <w:color w:val="000000"/>
          <w:kern w:val="0"/>
          <w:sz w:val="32"/>
          <w:szCs w:val="32"/>
          <w:lang w:val="en-US" w:eastAsia="zh-CN"/>
        </w:rPr>
        <w:t>17.7</w:t>
      </w:r>
      <w:r>
        <w:rPr>
          <w:rFonts w:hint="eastAsia" w:ascii="仿宋" w:hAnsi="仿宋" w:eastAsia="仿宋" w:cs="仿宋"/>
          <w:bCs/>
          <w:color w:val="000000"/>
          <w:kern w:val="0"/>
          <w:sz w:val="32"/>
          <w:szCs w:val="32"/>
        </w:rPr>
        <w:t>%</w:t>
      </w:r>
      <w:r>
        <w:rPr>
          <w:rFonts w:hint="eastAsia" w:ascii="仿宋" w:hAnsi="仿宋" w:eastAsia="仿宋" w:cs="仿宋"/>
          <w:bCs/>
          <w:color w:val="000000"/>
          <w:kern w:val="0"/>
          <w:sz w:val="32"/>
          <w:szCs w:val="32"/>
          <w:lang w:eastAsia="zh-CN"/>
        </w:rPr>
        <w:t>，</w:t>
      </w:r>
      <w:r>
        <w:rPr>
          <w:rFonts w:hint="eastAsia" w:ascii="仿宋" w:hAnsi="仿宋" w:eastAsia="仿宋" w:cs="仿宋"/>
          <w:bCs/>
          <w:color w:val="000000"/>
          <w:kern w:val="0"/>
          <w:sz w:val="32"/>
          <w:szCs w:val="32"/>
          <w:lang w:val="en-US" w:eastAsia="zh-CN"/>
        </w:rPr>
        <w:t>增幅居全市第4位。</w:t>
      </w:r>
      <w:r>
        <w:rPr>
          <w:rFonts w:hint="eastAsia" w:ascii="仿宋" w:hAnsi="仿宋" w:eastAsia="仿宋" w:cs="仿宋"/>
          <w:bCs/>
          <w:color w:val="000000"/>
          <w:sz w:val="32"/>
          <w:szCs w:val="32"/>
          <w:lang w:val="en-US" w:eastAsia="zh-CN"/>
        </w:rPr>
        <w:t>其中：税务部门累计完成49644万元，为年度预算的52.9%，同比增长15.7%；财政部门累计完成22645万元，为年度预算的79.9%，同比增长22.3%。</w:t>
      </w:r>
    </w:p>
    <w:p>
      <w:pPr>
        <w:keepNext w:val="0"/>
        <w:keepLines w:val="0"/>
        <w:pageBreakBefore w:val="0"/>
        <w:widowControl w:val="0"/>
        <w:kinsoku/>
        <w:wordWrap/>
        <w:overflowPunct/>
        <w:topLinePunct w:val="0"/>
        <w:autoSpaceDE/>
        <w:bidi w:val="0"/>
        <w:adjustRightInd/>
        <w:snapToGrid/>
        <w:spacing w:line="640" w:lineRule="exact"/>
        <w:ind w:left="0" w:leftChars="0" w:right="0" w:rightChars="0" w:firstLine="640" w:firstLineChars="200"/>
        <w:jc w:val="both"/>
        <w:textAlignment w:val="auto"/>
        <w:outlineLvl w:val="9"/>
        <w:rPr>
          <w:rFonts w:hint="default" w:ascii="仿宋" w:hAnsi="仿宋" w:eastAsia="仿宋" w:cs="仿宋"/>
          <w:b w:val="0"/>
          <w:bCs/>
          <w:color w:val="000000"/>
          <w:kern w:val="0"/>
          <w:sz w:val="32"/>
          <w:szCs w:val="32"/>
          <w:lang w:val="en-US" w:eastAsia="zh-CN"/>
        </w:rPr>
      </w:pPr>
      <w:r>
        <w:rPr>
          <w:rFonts w:hint="eastAsia" w:ascii="仿宋" w:hAnsi="仿宋" w:eastAsia="仿宋" w:cs="仿宋"/>
          <w:bCs/>
          <w:color w:val="000000"/>
          <w:sz w:val="32"/>
          <w:szCs w:val="32"/>
          <w:lang w:val="en-US" w:eastAsia="zh-CN"/>
        </w:rPr>
        <w:t>上半年，税收收入累计完成47600万元，为年度预算的52%，税收比重65.8%，收入质量同步提升。</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lang w:val="en-US" w:eastAsia="zh-CN"/>
        </w:rPr>
        <w:t>分</w:t>
      </w:r>
      <w:r>
        <w:rPr>
          <w:rFonts w:hint="eastAsia" w:ascii="仿宋" w:hAnsi="仿宋" w:eastAsia="仿宋" w:cs="宋体-18030"/>
          <w:bCs/>
          <w:color w:val="000000"/>
          <w:kern w:val="0"/>
          <w:sz w:val="32"/>
          <w:szCs w:val="32"/>
        </w:rPr>
        <w:t>收入项目完成情况是：</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增值税累计完成</w:t>
      </w:r>
      <w:r>
        <w:rPr>
          <w:rFonts w:hint="eastAsia" w:ascii="仿宋" w:hAnsi="仿宋" w:eastAsia="仿宋" w:cs="宋体-18030"/>
          <w:bCs/>
          <w:color w:val="000000"/>
          <w:kern w:val="0"/>
          <w:sz w:val="32"/>
          <w:szCs w:val="32"/>
          <w:lang w:val="en-US" w:eastAsia="zh-CN"/>
        </w:rPr>
        <w:t>14656</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 xml:space="preserve">增长34.3 </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企业所得税累计完成</w:t>
      </w:r>
      <w:r>
        <w:rPr>
          <w:rFonts w:hint="eastAsia" w:ascii="仿宋" w:hAnsi="仿宋" w:eastAsia="仿宋" w:cs="宋体-18030"/>
          <w:bCs/>
          <w:color w:val="000000"/>
          <w:kern w:val="0"/>
          <w:sz w:val="32"/>
          <w:szCs w:val="32"/>
          <w:lang w:val="en-US" w:eastAsia="zh-CN"/>
        </w:rPr>
        <w:t>7380</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下降24.5</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个人所得税累计完成</w:t>
      </w:r>
      <w:r>
        <w:rPr>
          <w:rFonts w:hint="eastAsia" w:ascii="仿宋" w:hAnsi="仿宋" w:eastAsia="仿宋" w:cs="宋体-18030"/>
          <w:bCs/>
          <w:color w:val="000000"/>
          <w:kern w:val="0"/>
          <w:sz w:val="32"/>
          <w:szCs w:val="32"/>
          <w:lang w:val="en-US" w:eastAsia="zh-CN"/>
        </w:rPr>
        <w:t>375</w:t>
      </w:r>
      <w:r>
        <w:rPr>
          <w:rFonts w:hint="eastAsia" w:ascii="仿宋" w:hAnsi="仿宋" w:eastAsia="仿宋" w:cs="宋体-18030"/>
          <w:bCs/>
          <w:color w:val="000000"/>
          <w:kern w:val="0"/>
          <w:sz w:val="32"/>
          <w:szCs w:val="32"/>
        </w:rPr>
        <w:t>万元，同比</w:t>
      </w:r>
      <w:r>
        <w:rPr>
          <w:rFonts w:hint="eastAsia" w:ascii="仿宋_GB2312" w:hAnsi="仿宋_GB2312" w:eastAsia="仿宋_GB2312" w:cs="仿宋_GB2312"/>
          <w:color w:val="auto"/>
          <w:sz w:val="32"/>
          <w:szCs w:val="32"/>
          <w:lang w:val="en-US" w:eastAsia="zh-CN"/>
        </w:rPr>
        <w:t>增长</w:t>
      </w:r>
      <w:r>
        <w:rPr>
          <w:rFonts w:hint="eastAsia" w:ascii="仿宋" w:hAnsi="仿宋" w:eastAsia="仿宋" w:cs="宋体-18030"/>
          <w:bCs/>
          <w:color w:val="000000"/>
          <w:kern w:val="0"/>
          <w:sz w:val="32"/>
          <w:szCs w:val="32"/>
          <w:lang w:val="en-US" w:eastAsia="zh-CN"/>
        </w:rPr>
        <w:t>28</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default"/>
          <w:color w:val="000000"/>
          <w:lang w:val="en-US" w:eastAsia="zh-CN"/>
        </w:rPr>
      </w:pPr>
      <w:r>
        <w:rPr>
          <w:rFonts w:hint="eastAsia" w:ascii="仿宋" w:hAnsi="仿宋" w:eastAsia="仿宋" w:cs="宋体-18030"/>
          <w:bCs/>
          <w:color w:val="000000"/>
          <w:kern w:val="0"/>
          <w:sz w:val="32"/>
          <w:szCs w:val="32"/>
          <w:lang w:val="en-US" w:eastAsia="zh-CN"/>
        </w:rPr>
        <w:t>资源</w:t>
      </w:r>
      <w:r>
        <w:rPr>
          <w:rFonts w:hint="eastAsia" w:ascii="仿宋" w:hAnsi="仿宋" w:eastAsia="仿宋" w:cs="宋体-18030"/>
          <w:bCs/>
          <w:color w:val="000000"/>
          <w:kern w:val="0"/>
          <w:sz w:val="32"/>
          <w:szCs w:val="32"/>
        </w:rPr>
        <w:t>税累计完成</w:t>
      </w:r>
      <w:r>
        <w:rPr>
          <w:rFonts w:hint="eastAsia" w:ascii="仿宋" w:hAnsi="仿宋" w:eastAsia="仿宋" w:cs="宋体-18030"/>
          <w:bCs/>
          <w:color w:val="000000"/>
          <w:kern w:val="0"/>
          <w:sz w:val="32"/>
          <w:szCs w:val="32"/>
          <w:lang w:val="en-US" w:eastAsia="zh-CN"/>
        </w:rPr>
        <w:t>423</w:t>
      </w:r>
      <w:r>
        <w:rPr>
          <w:rFonts w:hint="eastAsia" w:ascii="仿宋" w:hAnsi="仿宋" w:eastAsia="仿宋" w:cs="宋体-18030"/>
          <w:bCs/>
          <w:color w:val="000000"/>
          <w:kern w:val="0"/>
          <w:sz w:val="32"/>
          <w:szCs w:val="32"/>
        </w:rPr>
        <w:t>万元，同比</w:t>
      </w:r>
      <w:r>
        <w:rPr>
          <w:rFonts w:hint="eastAsia" w:ascii="仿宋_GB2312" w:hAnsi="仿宋_GB2312" w:eastAsia="仿宋_GB2312" w:cs="仿宋_GB2312"/>
          <w:color w:val="auto"/>
          <w:sz w:val="32"/>
          <w:szCs w:val="32"/>
          <w:lang w:val="en-US" w:eastAsia="zh-CN"/>
        </w:rPr>
        <w:t>增长122.6</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城市维护建设税累计完成</w:t>
      </w:r>
      <w:r>
        <w:rPr>
          <w:rFonts w:hint="eastAsia" w:ascii="仿宋" w:hAnsi="仿宋" w:eastAsia="仿宋" w:cs="宋体-18030"/>
          <w:bCs/>
          <w:color w:val="000000"/>
          <w:kern w:val="0"/>
          <w:sz w:val="32"/>
          <w:szCs w:val="32"/>
          <w:lang w:val="en-US" w:eastAsia="zh-CN"/>
        </w:rPr>
        <w:t>1332</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增长37.3</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房产税累计完成</w:t>
      </w:r>
      <w:r>
        <w:rPr>
          <w:rFonts w:hint="eastAsia" w:ascii="仿宋" w:hAnsi="仿宋" w:eastAsia="仿宋" w:cs="宋体-18030"/>
          <w:bCs/>
          <w:color w:val="000000"/>
          <w:kern w:val="0"/>
          <w:sz w:val="32"/>
          <w:szCs w:val="32"/>
          <w:lang w:val="en-US" w:eastAsia="zh-CN"/>
        </w:rPr>
        <w:t>542</w:t>
      </w:r>
      <w:r>
        <w:rPr>
          <w:rFonts w:hint="eastAsia" w:ascii="仿宋" w:hAnsi="仿宋" w:eastAsia="仿宋" w:cs="宋体-18030"/>
          <w:bCs/>
          <w:color w:val="000000"/>
          <w:kern w:val="0"/>
          <w:sz w:val="32"/>
          <w:szCs w:val="32"/>
        </w:rPr>
        <w:t>万元，同比</w:t>
      </w:r>
      <w:r>
        <w:rPr>
          <w:rFonts w:hint="eastAsia" w:ascii="仿宋_GB2312" w:hAnsi="仿宋_GB2312" w:eastAsia="仿宋_GB2312" w:cs="仿宋_GB2312"/>
          <w:color w:val="auto"/>
          <w:sz w:val="32"/>
          <w:szCs w:val="32"/>
          <w:lang w:val="en-US" w:eastAsia="zh-CN"/>
        </w:rPr>
        <w:t>增长40.1</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印花税累计完成</w:t>
      </w:r>
      <w:r>
        <w:rPr>
          <w:rFonts w:hint="eastAsia" w:ascii="仿宋" w:hAnsi="仿宋" w:eastAsia="仿宋" w:cs="宋体-18030"/>
          <w:bCs/>
          <w:color w:val="000000"/>
          <w:kern w:val="0"/>
          <w:sz w:val="32"/>
          <w:szCs w:val="32"/>
          <w:lang w:val="en-US" w:eastAsia="zh-CN"/>
        </w:rPr>
        <w:t>682</w:t>
      </w:r>
      <w:r>
        <w:rPr>
          <w:rFonts w:hint="eastAsia" w:ascii="仿宋" w:hAnsi="仿宋" w:eastAsia="仿宋" w:cs="宋体-18030"/>
          <w:bCs/>
          <w:color w:val="000000"/>
          <w:kern w:val="0"/>
          <w:sz w:val="32"/>
          <w:szCs w:val="32"/>
        </w:rPr>
        <w:t>万元，同比增长</w:t>
      </w:r>
      <w:r>
        <w:rPr>
          <w:rFonts w:hint="eastAsia" w:ascii="仿宋" w:hAnsi="仿宋" w:eastAsia="仿宋" w:cs="宋体-18030"/>
          <w:bCs/>
          <w:color w:val="000000"/>
          <w:kern w:val="0"/>
          <w:sz w:val="32"/>
          <w:szCs w:val="32"/>
          <w:lang w:val="en-US" w:eastAsia="zh-CN"/>
        </w:rPr>
        <w:t>65.5</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城镇土地使用税累计完成</w:t>
      </w:r>
      <w:r>
        <w:rPr>
          <w:rFonts w:hint="eastAsia" w:ascii="仿宋" w:hAnsi="仿宋" w:eastAsia="仿宋" w:cs="宋体-18030"/>
          <w:bCs/>
          <w:color w:val="000000"/>
          <w:kern w:val="0"/>
          <w:sz w:val="32"/>
          <w:szCs w:val="32"/>
          <w:lang w:val="en-US" w:eastAsia="zh-CN"/>
        </w:rPr>
        <w:t>2040</w:t>
      </w:r>
      <w:r>
        <w:rPr>
          <w:rFonts w:hint="eastAsia" w:ascii="仿宋" w:hAnsi="仿宋" w:eastAsia="仿宋" w:cs="宋体-18030"/>
          <w:bCs/>
          <w:color w:val="000000"/>
          <w:kern w:val="0"/>
          <w:sz w:val="32"/>
          <w:szCs w:val="32"/>
        </w:rPr>
        <w:t>万元，同比</w:t>
      </w:r>
      <w:r>
        <w:rPr>
          <w:rFonts w:hint="eastAsia" w:ascii="仿宋_GB2312" w:hAnsi="仿宋_GB2312" w:eastAsia="仿宋_GB2312" w:cs="仿宋_GB2312"/>
          <w:color w:val="auto"/>
          <w:sz w:val="32"/>
          <w:szCs w:val="32"/>
          <w:lang w:val="en-US" w:eastAsia="zh-CN"/>
        </w:rPr>
        <w:t>增长31.6</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土地增值税累计完成</w:t>
      </w:r>
      <w:r>
        <w:rPr>
          <w:rFonts w:hint="eastAsia" w:ascii="仿宋_GB2312" w:hAnsi="仿宋_GB2312" w:eastAsia="仿宋_GB2312" w:cs="仿宋_GB2312"/>
          <w:color w:val="auto"/>
          <w:sz w:val="32"/>
          <w:szCs w:val="32"/>
          <w:lang w:val="en-US" w:eastAsia="zh-CN"/>
        </w:rPr>
        <w:t>7623</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增长16.4</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车船税累计完成</w:t>
      </w:r>
      <w:r>
        <w:rPr>
          <w:rFonts w:hint="eastAsia" w:ascii="仿宋" w:hAnsi="仿宋" w:eastAsia="仿宋" w:cs="宋体-18030"/>
          <w:bCs/>
          <w:color w:val="000000"/>
          <w:kern w:val="0"/>
          <w:sz w:val="32"/>
          <w:szCs w:val="32"/>
          <w:lang w:val="en-US" w:eastAsia="zh-CN"/>
        </w:rPr>
        <w:t>608</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下降6.7</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耕地占用税累计完成</w:t>
      </w:r>
      <w:r>
        <w:rPr>
          <w:rFonts w:hint="eastAsia" w:ascii="仿宋" w:hAnsi="仿宋" w:eastAsia="仿宋" w:cs="宋体-18030"/>
          <w:bCs/>
          <w:color w:val="000000"/>
          <w:kern w:val="0"/>
          <w:sz w:val="32"/>
          <w:szCs w:val="32"/>
          <w:lang w:val="en-US" w:eastAsia="zh-CN"/>
        </w:rPr>
        <w:t>5125</w:t>
      </w:r>
      <w:r>
        <w:rPr>
          <w:rFonts w:hint="eastAsia" w:ascii="仿宋" w:hAnsi="仿宋" w:eastAsia="仿宋" w:cs="宋体-18030"/>
          <w:bCs/>
          <w:color w:val="000000"/>
          <w:kern w:val="0"/>
          <w:sz w:val="32"/>
          <w:szCs w:val="32"/>
        </w:rPr>
        <w:t>万元，同比</w:t>
      </w:r>
      <w:r>
        <w:rPr>
          <w:rFonts w:hint="eastAsia" w:ascii="仿宋_GB2312" w:hAnsi="仿宋_GB2312" w:eastAsia="仿宋_GB2312" w:cs="仿宋_GB2312"/>
          <w:color w:val="auto"/>
          <w:sz w:val="32"/>
          <w:szCs w:val="32"/>
          <w:lang w:val="en-US" w:eastAsia="zh-CN"/>
        </w:rPr>
        <w:t>下降2.4</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契税累计完成</w:t>
      </w:r>
      <w:r>
        <w:rPr>
          <w:rFonts w:hint="eastAsia" w:ascii="仿宋_GB2312" w:hAnsi="仿宋_GB2312" w:eastAsia="仿宋_GB2312" w:cs="仿宋_GB2312"/>
          <w:color w:val="auto"/>
          <w:sz w:val="32"/>
          <w:szCs w:val="32"/>
          <w:lang w:val="en-US" w:eastAsia="zh-CN"/>
        </w:rPr>
        <w:t>6768</w:t>
      </w:r>
      <w:r>
        <w:rPr>
          <w:rFonts w:hint="eastAsia" w:ascii="仿宋" w:hAnsi="仿宋" w:eastAsia="仿宋" w:cs="宋体-18030"/>
          <w:bCs/>
          <w:color w:val="000000"/>
          <w:kern w:val="0"/>
          <w:sz w:val="32"/>
          <w:szCs w:val="32"/>
        </w:rPr>
        <w:t>万元，同比</w:t>
      </w:r>
      <w:r>
        <w:rPr>
          <w:rFonts w:hint="eastAsia" w:ascii="仿宋_GB2312" w:hAnsi="仿宋_GB2312" w:eastAsia="仿宋_GB2312" w:cs="仿宋_GB2312"/>
          <w:color w:val="auto"/>
          <w:sz w:val="32"/>
          <w:szCs w:val="32"/>
          <w:lang w:val="en-US" w:eastAsia="zh-CN"/>
        </w:rPr>
        <w:t>增长35.6</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行政性收费收入累计完成</w:t>
      </w:r>
      <w:r>
        <w:rPr>
          <w:rFonts w:hint="eastAsia" w:ascii="仿宋" w:hAnsi="仿宋" w:eastAsia="仿宋" w:cs="宋体-18030"/>
          <w:bCs/>
          <w:color w:val="000000"/>
          <w:kern w:val="0"/>
          <w:sz w:val="32"/>
          <w:szCs w:val="32"/>
          <w:lang w:val="en-US" w:eastAsia="zh-CN"/>
        </w:rPr>
        <w:t>14053</w:t>
      </w:r>
      <w:r>
        <w:rPr>
          <w:rFonts w:hint="eastAsia" w:ascii="仿宋" w:hAnsi="仿宋" w:eastAsia="仿宋" w:cs="宋体-18030"/>
          <w:bCs/>
          <w:color w:val="000000"/>
          <w:kern w:val="0"/>
          <w:sz w:val="32"/>
          <w:szCs w:val="32"/>
        </w:rPr>
        <w:t>万元，同比</w:t>
      </w:r>
      <w:r>
        <w:rPr>
          <w:rFonts w:hint="eastAsia" w:ascii="仿宋_GB2312" w:hAnsi="仿宋_GB2312" w:eastAsia="仿宋_GB2312" w:cs="仿宋_GB2312"/>
          <w:color w:val="auto"/>
          <w:sz w:val="32"/>
          <w:szCs w:val="32"/>
          <w:lang w:val="en-US" w:eastAsia="zh-CN"/>
        </w:rPr>
        <w:t>增长207</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rPr>
      </w:pPr>
      <w:r>
        <w:rPr>
          <w:rFonts w:hint="eastAsia" w:ascii="仿宋" w:hAnsi="仿宋" w:eastAsia="仿宋" w:cs="宋体-18030"/>
          <w:bCs/>
          <w:color w:val="000000"/>
          <w:kern w:val="0"/>
          <w:sz w:val="32"/>
          <w:szCs w:val="32"/>
        </w:rPr>
        <w:t>罚没收入累计完成</w:t>
      </w:r>
      <w:r>
        <w:rPr>
          <w:rFonts w:hint="eastAsia" w:ascii="仿宋" w:hAnsi="仿宋" w:eastAsia="仿宋" w:cs="宋体-18030"/>
          <w:bCs/>
          <w:color w:val="000000"/>
          <w:kern w:val="0"/>
          <w:sz w:val="32"/>
          <w:szCs w:val="32"/>
          <w:lang w:val="en-US" w:eastAsia="zh-CN"/>
        </w:rPr>
        <w:t>3414</w:t>
      </w:r>
      <w:r>
        <w:rPr>
          <w:rFonts w:hint="eastAsia" w:ascii="仿宋" w:hAnsi="仿宋" w:eastAsia="仿宋" w:cs="宋体-18030"/>
          <w:bCs/>
          <w:color w:val="000000"/>
          <w:kern w:val="0"/>
          <w:sz w:val="32"/>
          <w:szCs w:val="32"/>
        </w:rPr>
        <w:t>万元，同比</w:t>
      </w:r>
      <w:r>
        <w:rPr>
          <w:rFonts w:hint="eastAsia" w:ascii="仿宋" w:hAnsi="仿宋" w:eastAsia="仿宋" w:cs="宋体-18030"/>
          <w:bCs/>
          <w:color w:val="000000"/>
          <w:kern w:val="0"/>
          <w:sz w:val="32"/>
          <w:szCs w:val="32"/>
          <w:lang w:val="en-US" w:eastAsia="zh-CN"/>
        </w:rPr>
        <w:t>下降0.3</w:t>
      </w:r>
      <w:r>
        <w:rPr>
          <w:rFonts w:hint="eastAsia" w:ascii="仿宋" w:hAnsi="仿宋" w:eastAsia="仿宋" w:cs="宋体-18030"/>
          <w:bCs/>
          <w:color w:val="000000"/>
          <w:kern w:val="0"/>
          <w:sz w:val="32"/>
          <w:szCs w:val="32"/>
        </w:rPr>
        <w:t>%；</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Cs/>
          <w:color w:val="000000"/>
          <w:kern w:val="0"/>
          <w:sz w:val="32"/>
          <w:szCs w:val="32"/>
          <w:lang w:eastAsia="zh-CN"/>
        </w:rPr>
      </w:pPr>
      <w:r>
        <w:rPr>
          <w:rFonts w:hint="eastAsia" w:ascii="仿宋" w:hAnsi="仿宋" w:eastAsia="仿宋" w:cs="宋体-18030"/>
          <w:bCs/>
          <w:color w:val="000000"/>
          <w:kern w:val="0"/>
          <w:sz w:val="32"/>
          <w:szCs w:val="32"/>
        </w:rPr>
        <w:t>专项收入累计完成</w:t>
      </w:r>
      <w:r>
        <w:rPr>
          <w:rFonts w:hint="eastAsia" w:ascii="仿宋" w:hAnsi="仿宋" w:eastAsia="仿宋" w:cs="宋体-18030"/>
          <w:bCs/>
          <w:color w:val="000000"/>
          <w:kern w:val="0"/>
          <w:sz w:val="32"/>
          <w:szCs w:val="32"/>
          <w:lang w:val="en-US" w:eastAsia="zh-CN"/>
        </w:rPr>
        <w:t>1110</w:t>
      </w:r>
      <w:r>
        <w:rPr>
          <w:rFonts w:hint="eastAsia" w:ascii="仿宋" w:hAnsi="仿宋" w:eastAsia="仿宋" w:cs="宋体-18030"/>
          <w:bCs/>
          <w:color w:val="000000"/>
          <w:kern w:val="0"/>
          <w:sz w:val="32"/>
          <w:szCs w:val="32"/>
        </w:rPr>
        <w:t>万元，同比增长</w:t>
      </w:r>
      <w:r>
        <w:rPr>
          <w:rFonts w:hint="eastAsia" w:ascii="仿宋" w:hAnsi="仿宋" w:eastAsia="仿宋" w:cs="宋体-18030"/>
          <w:bCs/>
          <w:color w:val="000000"/>
          <w:kern w:val="0"/>
          <w:sz w:val="32"/>
          <w:szCs w:val="32"/>
          <w:lang w:val="en-US" w:eastAsia="zh-CN"/>
        </w:rPr>
        <w:t>31.7</w:t>
      </w:r>
      <w:r>
        <w:rPr>
          <w:rFonts w:hint="eastAsia" w:ascii="仿宋" w:hAnsi="仿宋" w:eastAsia="仿宋" w:cs="宋体-18030"/>
          <w:bCs/>
          <w:color w:val="000000"/>
          <w:kern w:val="0"/>
          <w:sz w:val="32"/>
          <w:szCs w:val="32"/>
        </w:rPr>
        <w:t>%</w:t>
      </w:r>
      <w:r>
        <w:rPr>
          <w:rFonts w:hint="eastAsia" w:ascii="仿宋" w:hAnsi="仿宋" w:eastAsia="仿宋" w:cs="宋体-18030"/>
          <w:bCs/>
          <w:color w:val="000000"/>
          <w:kern w:val="0"/>
          <w:sz w:val="32"/>
          <w:szCs w:val="32"/>
          <w:lang w:eastAsia="zh-CN"/>
        </w:rPr>
        <w:t>。</w:t>
      </w:r>
    </w:p>
    <w:p>
      <w:pPr>
        <w:keepNext w:val="0"/>
        <w:keepLines w:val="0"/>
        <w:pageBreakBefore w:val="0"/>
        <w:kinsoku/>
        <w:wordWrap/>
        <w:overflowPunct/>
        <w:topLinePunct w:val="0"/>
        <w:bidi w:val="0"/>
        <w:spacing w:line="640" w:lineRule="exact"/>
        <w:ind w:right="0" w:rightChars="0" w:firstLine="640"/>
        <w:textAlignment w:val="auto"/>
        <w:outlineLvl w:val="9"/>
        <w:rPr>
          <w:rFonts w:hint="eastAsia" w:ascii="仿宋_GB2312" w:hAnsi="楷体" w:eastAsia="仿宋_GB2312"/>
          <w:b/>
          <w:bCs w:val="0"/>
          <w:color w:val="000000"/>
          <w:sz w:val="32"/>
          <w:szCs w:val="32"/>
        </w:rPr>
      </w:pPr>
      <w:r>
        <w:rPr>
          <w:rFonts w:hint="eastAsia" w:ascii="仿宋_GB2312" w:hAnsi="楷体" w:eastAsia="仿宋_GB2312"/>
          <w:b/>
          <w:bCs w:val="0"/>
          <w:color w:val="000000"/>
          <w:sz w:val="32"/>
          <w:szCs w:val="32"/>
          <w:lang w:val="en-US" w:eastAsia="zh-CN"/>
        </w:rPr>
        <w:t>2、一般</w:t>
      </w:r>
      <w:r>
        <w:rPr>
          <w:rFonts w:hint="eastAsia" w:ascii="仿宋_GB2312" w:hAnsi="楷体" w:eastAsia="仿宋_GB2312"/>
          <w:b/>
          <w:bCs w:val="0"/>
          <w:color w:val="000000"/>
          <w:sz w:val="32"/>
          <w:szCs w:val="32"/>
        </w:rPr>
        <w:t>预算支出完成情况</w:t>
      </w:r>
    </w:p>
    <w:p>
      <w:pPr>
        <w:keepNext w:val="0"/>
        <w:keepLines w:val="0"/>
        <w:pageBreakBefore w:val="0"/>
        <w:kinsoku/>
        <w:wordWrap/>
        <w:overflowPunct/>
        <w:topLinePunct w:val="0"/>
        <w:autoSpaceDE/>
        <w:bidi w:val="0"/>
        <w:spacing w:line="640" w:lineRule="exact"/>
        <w:ind w:left="0" w:leftChars="0" w:right="0" w:rightChars="0" w:firstLine="640" w:firstLineChars="200"/>
        <w:jc w:val="both"/>
        <w:textAlignment w:val="auto"/>
        <w:outlineLvl w:val="9"/>
        <w:rPr>
          <w:rFonts w:hint="eastAsia" w:ascii="仿宋" w:hAnsi="仿宋" w:eastAsia="仿宋" w:cs="仿宋"/>
          <w:bCs/>
          <w:color w:val="000000"/>
          <w:kern w:val="0"/>
          <w:sz w:val="32"/>
          <w:szCs w:val="32"/>
          <w:lang w:val="en-US"/>
        </w:rPr>
      </w:pPr>
      <w:r>
        <w:rPr>
          <w:rFonts w:hint="eastAsia" w:ascii="仿宋" w:hAnsi="仿宋" w:eastAsia="仿宋" w:cs="仿宋"/>
          <w:bCs/>
          <w:color w:val="000000"/>
          <w:kern w:val="0"/>
          <w:sz w:val="32"/>
          <w:szCs w:val="32"/>
          <w:lang w:val="en-US" w:eastAsia="zh-CN"/>
        </w:rPr>
        <w:t>上半年</w:t>
      </w:r>
      <w:r>
        <w:rPr>
          <w:rFonts w:hint="eastAsia" w:ascii="仿宋" w:hAnsi="仿宋" w:eastAsia="仿宋" w:cs="仿宋"/>
          <w:bCs/>
          <w:color w:val="000000"/>
          <w:kern w:val="0"/>
          <w:sz w:val="32"/>
          <w:szCs w:val="32"/>
        </w:rPr>
        <w:t>，</w:t>
      </w:r>
      <w:r>
        <w:rPr>
          <w:rFonts w:hint="eastAsia" w:ascii="仿宋" w:hAnsi="仿宋" w:eastAsia="仿宋" w:cs="仿宋"/>
          <w:bCs/>
          <w:color w:val="000000"/>
          <w:kern w:val="0"/>
          <w:sz w:val="32"/>
          <w:szCs w:val="32"/>
          <w:lang w:val="en-US" w:eastAsia="zh-CN"/>
        </w:rPr>
        <w:t>全</w:t>
      </w:r>
      <w:r>
        <w:rPr>
          <w:rFonts w:hint="eastAsia" w:ascii="仿宋" w:hAnsi="仿宋" w:eastAsia="仿宋" w:cs="仿宋"/>
          <w:bCs/>
          <w:color w:val="000000"/>
          <w:kern w:val="0"/>
          <w:sz w:val="32"/>
          <w:szCs w:val="32"/>
          <w:lang w:eastAsia="zh-CN"/>
        </w:rPr>
        <w:t>区</w:t>
      </w:r>
      <w:r>
        <w:rPr>
          <w:rFonts w:hint="eastAsia" w:ascii="仿宋" w:hAnsi="仿宋" w:eastAsia="仿宋" w:cs="仿宋"/>
          <w:bCs/>
          <w:color w:val="000000"/>
          <w:kern w:val="0"/>
          <w:sz w:val="32"/>
          <w:szCs w:val="32"/>
          <w:lang w:val="en-US" w:eastAsia="zh-CN"/>
        </w:rPr>
        <w:t>地方</w:t>
      </w:r>
      <w:r>
        <w:rPr>
          <w:rFonts w:hint="eastAsia" w:ascii="仿宋" w:hAnsi="仿宋" w:eastAsia="仿宋" w:cs="仿宋"/>
          <w:bCs/>
          <w:color w:val="000000"/>
          <w:kern w:val="0"/>
          <w:sz w:val="32"/>
          <w:szCs w:val="32"/>
        </w:rPr>
        <w:t>一般</w:t>
      </w:r>
      <w:r>
        <w:rPr>
          <w:rFonts w:hint="eastAsia" w:ascii="仿宋" w:hAnsi="仿宋" w:eastAsia="仿宋" w:cs="仿宋"/>
          <w:bCs/>
          <w:color w:val="000000"/>
          <w:kern w:val="0"/>
          <w:sz w:val="32"/>
          <w:szCs w:val="32"/>
          <w:lang w:eastAsia="zh-CN"/>
        </w:rPr>
        <w:t>公共</w:t>
      </w:r>
      <w:r>
        <w:rPr>
          <w:rFonts w:hint="eastAsia" w:ascii="仿宋" w:hAnsi="仿宋" w:eastAsia="仿宋" w:cs="仿宋"/>
          <w:bCs/>
          <w:color w:val="000000"/>
          <w:kern w:val="0"/>
          <w:sz w:val="32"/>
          <w:szCs w:val="32"/>
        </w:rPr>
        <w:t>预算支出</w:t>
      </w:r>
      <w:r>
        <w:rPr>
          <w:rFonts w:hint="eastAsia" w:ascii="仿宋" w:hAnsi="仿宋" w:eastAsia="仿宋" w:cs="仿宋"/>
          <w:bCs/>
          <w:color w:val="000000"/>
          <w:kern w:val="0"/>
          <w:sz w:val="32"/>
          <w:szCs w:val="32"/>
          <w:lang w:val="en-US" w:eastAsia="zh-CN"/>
        </w:rPr>
        <w:t>累计</w:t>
      </w:r>
      <w:r>
        <w:rPr>
          <w:rFonts w:hint="eastAsia" w:ascii="仿宋" w:hAnsi="仿宋" w:eastAsia="仿宋" w:cs="仿宋"/>
          <w:bCs/>
          <w:color w:val="000000"/>
          <w:kern w:val="0"/>
          <w:sz w:val="32"/>
          <w:szCs w:val="32"/>
        </w:rPr>
        <w:t>完成</w:t>
      </w:r>
      <w:r>
        <w:rPr>
          <w:rFonts w:hint="eastAsia" w:ascii="仿宋" w:hAnsi="仿宋" w:eastAsia="仿宋" w:cs="仿宋"/>
          <w:bCs/>
          <w:color w:val="000000"/>
          <w:kern w:val="0"/>
          <w:sz w:val="32"/>
          <w:szCs w:val="32"/>
          <w:lang w:val="en-US" w:eastAsia="zh-CN"/>
        </w:rPr>
        <w:t>379451</w:t>
      </w:r>
      <w:r>
        <w:rPr>
          <w:rFonts w:hint="eastAsia" w:ascii="仿宋" w:hAnsi="仿宋" w:eastAsia="仿宋" w:cs="仿宋"/>
          <w:bCs/>
          <w:color w:val="000000"/>
          <w:kern w:val="0"/>
          <w:sz w:val="32"/>
          <w:szCs w:val="32"/>
        </w:rPr>
        <w:t>万元</w:t>
      </w:r>
      <w:r>
        <w:rPr>
          <w:rFonts w:hint="eastAsia" w:ascii="仿宋" w:hAnsi="仿宋" w:eastAsia="仿宋" w:cs="仿宋"/>
          <w:bCs/>
          <w:color w:val="000000"/>
          <w:kern w:val="0"/>
          <w:sz w:val="32"/>
          <w:szCs w:val="32"/>
          <w:lang w:eastAsia="zh-CN"/>
        </w:rPr>
        <w:t>，</w:t>
      </w:r>
      <w:r>
        <w:rPr>
          <w:rFonts w:hint="eastAsia" w:ascii="仿宋" w:hAnsi="仿宋" w:eastAsia="仿宋" w:cs="仿宋"/>
          <w:bCs/>
          <w:color w:val="000000"/>
          <w:kern w:val="0"/>
          <w:sz w:val="32"/>
          <w:szCs w:val="32"/>
          <w:lang w:val="en-US" w:eastAsia="zh-CN"/>
        </w:rPr>
        <w:t>同比下降8%。</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lang w:val="en-US" w:eastAsia="zh-CN"/>
        </w:rPr>
        <w:t>八项重点</w:t>
      </w:r>
      <w:r>
        <w:rPr>
          <w:rFonts w:hint="eastAsia" w:ascii="仿宋" w:hAnsi="仿宋" w:eastAsia="仿宋"/>
          <w:color w:val="000000"/>
          <w:sz w:val="32"/>
          <w:szCs w:val="32"/>
        </w:rPr>
        <w:t>支出完成情况是：</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一般公共服务支出完成</w:t>
      </w:r>
      <w:r>
        <w:rPr>
          <w:rFonts w:hint="eastAsia" w:ascii="仿宋" w:hAnsi="仿宋" w:eastAsia="仿宋"/>
          <w:color w:val="000000"/>
          <w:sz w:val="32"/>
          <w:szCs w:val="32"/>
          <w:lang w:val="en-US" w:eastAsia="zh-CN"/>
        </w:rPr>
        <w:t>32584</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下降5.1</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公共安全支出完成</w:t>
      </w:r>
      <w:r>
        <w:rPr>
          <w:rFonts w:hint="eastAsia" w:ascii="仿宋" w:hAnsi="仿宋" w:eastAsia="仿宋"/>
          <w:color w:val="000000"/>
          <w:sz w:val="32"/>
          <w:szCs w:val="32"/>
          <w:lang w:val="en-US" w:eastAsia="zh-CN"/>
        </w:rPr>
        <w:t>10933</w:t>
      </w:r>
      <w:r>
        <w:rPr>
          <w:rFonts w:hint="eastAsia" w:ascii="仿宋" w:hAnsi="仿宋" w:eastAsia="仿宋"/>
          <w:color w:val="000000"/>
          <w:sz w:val="32"/>
          <w:szCs w:val="32"/>
        </w:rPr>
        <w:t>万元，同比</w:t>
      </w:r>
      <w:r>
        <w:rPr>
          <w:rFonts w:hint="eastAsia" w:ascii="仿宋_GB2312" w:hAnsi="仿宋_GB2312" w:eastAsia="仿宋_GB2312" w:cs="仿宋_GB2312"/>
          <w:color w:val="auto"/>
          <w:sz w:val="32"/>
          <w:szCs w:val="32"/>
          <w:lang w:val="en-US" w:eastAsia="zh-CN"/>
        </w:rPr>
        <w:t>增长</w:t>
      </w:r>
      <w:r>
        <w:rPr>
          <w:rFonts w:hint="eastAsia" w:ascii="仿宋" w:hAnsi="仿宋" w:eastAsia="仿宋" w:cs="宋体-18030"/>
          <w:bCs/>
          <w:color w:val="000000"/>
          <w:kern w:val="0"/>
          <w:sz w:val="32"/>
          <w:szCs w:val="32"/>
          <w:lang w:val="en-US" w:eastAsia="zh-CN"/>
        </w:rPr>
        <w:t>17.9</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教育支出完成</w:t>
      </w:r>
      <w:r>
        <w:rPr>
          <w:rFonts w:hint="eastAsia" w:ascii="仿宋" w:hAnsi="仿宋" w:eastAsia="仿宋"/>
          <w:color w:val="000000"/>
          <w:sz w:val="32"/>
          <w:szCs w:val="32"/>
          <w:lang w:val="en-US" w:eastAsia="zh-CN"/>
        </w:rPr>
        <w:t>56069</w:t>
      </w:r>
      <w:r>
        <w:rPr>
          <w:rFonts w:hint="eastAsia" w:ascii="仿宋" w:hAnsi="仿宋" w:eastAsia="仿宋"/>
          <w:color w:val="000000"/>
          <w:sz w:val="32"/>
          <w:szCs w:val="32"/>
        </w:rPr>
        <w:t>万元，同比</w:t>
      </w:r>
      <w:r>
        <w:rPr>
          <w:rFonts w:hint="eastAsia" w:ascii="仿宋_GB2312" w:hAnsi="仿宋_GB2312" w:eastAsia="仿宋_GB2312" w:cs="仿宋_GB2312"/>
          <w:color w:val="auto"/>
          <w:sz w:val="32"/>
          <w:szCs w:val="32"/>
          <w:lang w:val="en-US" w:eastAsia="zh-CN"/>
        </w:rPr>
        <w:t>增长</w:t>
      </w:r>
      <w:r>
        <w:rPr>
          <w:rFonts w:hint="eastAsia" w:ascii="仿宋" w:hAnsi="仿宋" w:eastAsia="仿宋" w:cs="宋体-18030"/>
          <w:bCs/>
          <w:color w:val="000000"/>
          <w:kern w:val="0"/>
          <w:sz w:val="32"/>
          <w:szCs w:val="32"/>
          <w:lang w:val="en-US" w:eastAsia="zh-CN"/>
        </w:rPr>
        <w:t>8.2</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科学技术支出完成</w:t>
      </w:r>
      <w:r>
        <w:rPr>
          <w:rFonts w:hint="eastAsia" w:ascii="仿宋" w:hAnsi="仿宋" w:eastAsia="仿宋"/>
          <w:color w:val="000000"/>
          <w:sz w:val="32"/>
          <w:szCs w:val="32"/>
          <w:lang w:val="en-US" w:eastAsia="zh-CN"/>
        </w:rPr>
        <w:t>209</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下降52.2</w:t>
      </w:r>
      <w:r>
        <w:rPr>
          <w:rFonts w:hint="eastAsia" w:ascii="仿宋" w:hAnsi="仿宋" w:eastAsia="仿宋"/>
          <w:color w:val="000000"/>
          <w:sz w:val="32"/>
          <w:szCs w:val="32"/>
        </w:rPr>
        <w:t>%；</w:t>
      </w:r>
    </w:p>
    <w:p>
      <w:pPr>
        <w:keepNext w:val="0"/>
        <w:keepLines w:val="0"/>
        <w:pageBreakBefore w:val="0"/>
        <w:kinsoku/>
        <w:wordWrap/>
        <w:overflowPunct/>
        <w:topLinePunct w:val="0"/>
        <w:autoSpaceDE/>
        <w:bidi w:val="0"/>
        <w:spacing w:line="640" w:lineRule="exact"/>
        <w:ind w:left="638" w:leftChars="304" w:right="0" w:rightChars="0" w:firstLine="0" w:firstLineChars="0"/>
        <w:jc w:val="both"/>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社会保障和就业支出完成</w:t>
      </w:r>
      <w:r>
        <w:rPr>
          <w:rFonts w:hint="eastAsia" w:ascii="仿宋" w:hAnsi="仿宋" w:eastAsia="仿宋"/>
          <w:color w:val="000000"/>
          <w:sz w:val="32"/>
          <w:szCs w:val="32"/>
          <w:lang w:val="en-US" w:eastAsia="zh-CN"/>
        </w:rPr>
        <w:t>50551</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下降4.1</w:t>
      </w:r>
      <w:r>
        <w:rPr>
          <w:rFonts w:hint="eastAsia" w:ascii="仿宋" w:hAnsi="仿宋" w:eastAsia="仿宋"/>
          <w:color w:val="000000"/>
          <w:sz w:val="32"/>
          <w:szCs w:val="32"/>
        </w:rPr>
        <w:t>%；</w:t>
      </w:r>
    </w:p>
    <w:p>
      <w:pPr>
        <w:keepNext w:val="0"/>
        <w:keepLines w:val="0"/>
        <w:pageBreakBefore w:val="0"/>
        <w:kinsoku/>
        <w:wordWrap/>
        <w:overflowPunct/>
        <w:topLinePunct w:val="0"/>
        <w:autoSpaceDE/>
        <w:bidi w:val="0"/>
        <w:spacing w:line="640" w:lineRule="exact"/>
        <w:ind w:left="638" w:leftChars="304" w:right="0" w:rightChars="0" w:firstLine="0" w:firstLineChars="0"/>
        <w:jc w:val="both"/>
        <w:textAlignment w:val="auto"/>
        <w:outlineLvl w:val="9"/>
        <w:rPr>
          <w:rFonts w:hint="eastAsia" w:ascii="仿宋" w:hAnsi="仿宋" w:eastAsia="仿宋"/>
          <w:color w:val="000000"/>
          <w:sz w:val="32"/>
          <w:szCs w:val="32"/>
        </w:rPr>
      </w:pPr>
      <w:r>
        <w:rPr>
          <w:rFonts w:hint="eastAsia" w:ascii="仿宋" w:hAnsi="仿宋" w:eastAsia="仿宋"/>
          <w:b w:val="0"/>
          <w:bCs w:val="0"/>
          <w:color w:val="000000"/>
          <w:sz w:val="32"/>
          <w:szCs w:val="32"/>
          <w:lang w:eastAsia="zh-CN"/>
        </w:rPr>
        <w:t>卫生健康</w:t>
      </w:r>
      <w:r>
        <w:rPr>
          <w:rFonts w:hint="eastAsia" w:ascii="仿宋" w:hAnsi="仿宋" w:eastAsia="仿宋"/>
          <w:b w:val="0"/>
          <w:bCs w:val="0"/>
          <w:color w:val="000000"/>
          <w:sz w:val="32"/>
          <w:szCs w:val="32"/>
        </w:rPr>
        <w:t>支出</w:t>
      </w:r>
      <w:r>
        <w:rPr>
          <w:rFonts w:hint="eastAsia" w:ascii="仿宋" w:hAnsi="仿宋" w:eastAsia="仿宋"/>
          <w:color w:val="000000"/>
          <w:sz w:val="32"/>
          <w:szCs w:val="32"/>
        </w:rPr>
        <w:t>完成</w:t>
      </w:r>
      <w:r>
        <w:rPr>
          <w:rFonts w:hint="eastAsia" w:ascii="仿宋" w:hAnsi="仿宋" w:eastAsia="仿宋"/>
          <w:color w:val="000000"/>
          <w:sz w:val="32"/>
          <w:szCs w:val="32"/>
          <w:lang w:val="en-US" w:eastAsia="zh-CN"/>
        </w:rPr>
        <w:t>64454</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增长64.5</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rPr>
      </w:pPr>
      <w:r>
        <w:rPr>
          <w:rFonts w:hint="eastAsia" w:ascii="仿宋" w:hAnsi="仿宋" w:eastAsia="仿宋"/>
          <w:color w:val="000000"/>
          <w:sz w:val="32"/>
          <w:szCs w:val="32"/>
        </w:rPr>
        <w:t>节能环保支出完成</w:t>
      </w:r>
      <w:r>
        <w:rPr>
          <w:rFonts w:hint="eastAsia" w:ascii="仿宋" w:hAnsi="仿宋" w:eastAsia="仿宋"/>
          <w:color w:val="000000"/>
          <w:sz w:val="32"/>
          <w:szCs w:val="32"/>
          <w:lang w:val="en-US" w:eastAsia="zh-CN"/>
        </w:rPr>
        <w:t>4355</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下降48.3</w:t>
      </w:r>
      <w:r>
        <w:rPr>
          <w:rFonts w:hint="eastAsia" w:ascii="仿宋" w:hAnsi="仿宋" w:eastAsia="仿宋"/>
          <w:color w:val="000000"/>
          <w:sz w:val="32"/>
          <w:szCs w:val="32"/>
        </w:rPr>
        <w:t>%；</w:t>
      </w:r>
    </w:p>
    <w:p>
      <w:pPr>
        <w:keepNext w:val="0"/>
        <w:keepLines w:val="0"/>
        <w:pageBreakBefore w:val="0"/>
        <w:kinsoku/>
        <w:wordWrap/>
        <w:overflowPunct/>
        <w:topLinePunct w:val="0"/>
        <w:bidi w:val="0"/>
        <w:spacing w:line="640" w:lineRule="exact"/>
        <w:ind w:right="0" w:rightChars="0" w:firstLine="640" w:firstLineChars="200"/>
        <w:textAlignment w:val="auto"/>
        <w:outlineLvl w:val="9"/>
        <w:rPr>
          <w:rFonts w:hint="eastAsia" w:ascii="仿宋" w:hAnsi="仿宋" w:eastAsia="仿宋"/>
          <w:color w:val="000000"/>
          <w:sz w:val="32"/>
          <w:szCs w:val="32"/>
          <w:lang w:eastAsia="zh-CN"/>
        </w:rPr>
      </w:pPr>
      <w:r>
        <w:rPr>
          <w:rFonts w:hint="eastAsia" w:ascii="仿宋" w:hAnsi="仿宋" w:eastAsia="仿宋"/>
          <w:color w:val="000000"/>
          <w:sz w:val="32"/>
          <w:szCs w:val="32"/>
        </w:rPr>
        <w:t>城乡社区支出完成</w:t>
      </w:r>
      <w:r>
        <w:rPr>
          <w:rFonts w:hint="eastAsia" w:ascii="仿宋" w:hAnsi="仿宋" w:eastAsia="仿宋"/>
          <w:color w:val="000000"/>
          <w:sz w:val="32"/>
          <w:szCs w:val="32"/>
          <w:lang w:val="en-US" w:eastAsia="zh-CN"/>
        </w:rPr>
        <w:t>35903</w:t>
      </w:r>
      <w:r>
        <w:rPr>
          <w:rFonts w:hint="eastAsia" w:ascii="仿宋" w:hAnsi="仿宋" w:eastAsia="仿宋"/>
          <w:color w:val="000000"/>
          <w:sz w:val="32"/>
          <w:szCs w:val="32"/>
        </w:rPr>
        <w:t>万元，同比</w:t>
      </w:r>
      <w:r>
        <w:rPr>
          <w:rFonts w:hint="eastAsia" w:ascii="仿宋" w:hAnsi="仿宋" w:eastAsia="仿宋" w:cs="宋体-18030"/>
          <w:bCs/>
          <w:color w:val="000000"/>
          <w:kern w:val="0"/>
          <w:sz w:val="32"/>
          <w:szCs w:val="32"/>
          <w:lang w:val="en-US" w:eastAsia="zh-CN"/>
        </w:rPr>
        <w:t>下降10.6</w:t>
      </w:r>
      <w:r>
        <w:rPr>
          <w:rFonts w:hint="eastAsia" w:ascii="仿宋" w:hAnsi="仿宋" w:eastAsia="仿宋"/>
          <w:color w:val="000000"/>
          <w:sz w:val="32"/>
          <w:szCs w:val="32"/>
        </w:rPr>
        <w:t>%</w:t>
      </w:r>
      <w:r>
        <w:rPr>
          <w:rFonts w:hint="eastAsia" w:ascii="仿宋" w:hAnsi="仿宋" w:eastAsia="仿宋"/>
          <w:color w:val="000000"/>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3" w:firstLineChars="200"/>
        <w:textAlignment w:val="auto"/>
        <w:outlineLvl w:val="9"/>
        <w:rPr>
          <w:rFonts w:hint="eastAsia" w:ascii="楷体" w:hAnsi="楷体" w:eastAsia="楷体" w:cs="楷体"/>
          <w:b/>
          <w:bCs/>
          <w:color w:val="000000"/>
          <w:sz w:val="32"/>
          <w:szCs w:val="32"/>
          <w:lang w:val="en-US" w:eastAsia="zh-CN"/>
        </w:rPr>
      </w:pPr>
      <w:r>
        <w:rPr>
          <w:rFonts w:hint="eastAsia" w:ascii="楷体" w:hAnsi="楷体" w:eastAsia="楷体" w:cs="楷体"/>
          <w:b/>
          <w:bCs/>
          <w:color w:val="000000"/>
          <w:sz w:val="32"/>
          <w:szCs w:val="32"/>
          <w:lang w:val="en-US" w:eastAsia="zh-CN"/>
        </w:rPr>
        <w:t>（二）政府性基金预算收支完成情况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1、政府性基金预算收入完成情况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Cs/>
          <w:color w:val="000000"/>
          <w:kern w:val="0"/>
          <w:sz w:val="32"/>
          <w:szCs w:val="32"/>
          <w:lang w:val="en-US" w:eastAsia="zh-CN"/>
        </w:rPr>
        <w:t>上半年，政府性基金收入完成50679万元，完成年度</w:t>
      </w:r>
      <w:r>
        <w:rPr>
          <w:rFonts w:hint="eastAsia" w:ascii="仿宋" w:hAnsi="仿宋" w:eastAsia="仿宋" w:cs="宋体-18030"/>
          <w:b w:val="0"/>
          <w:bCs/>
          <w:color w:val="000000"/>
          <w:kern w:val="0"/>
          <w:sz w:val="32"/>
          <w:szCs w:val="32"/>
          <w:lang w:val="en-US" w:eastAsia="zh-CN"/>
        </w:rPr>
        <w:t>预算的23.4%。</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2、政府性基金预算支出完成情况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default" w:ascii="仿宋" w:hAnsi="仿宋" w:eastAsia="仿宋" w:cs="宋体-18030"/>
          <w:b w:val="0"/>
          <w:bCs/>
          <w:color w:val="000000"/>
          <w:kern w:val="0"/>
          <w:sz w:val="32"/>
          <w:szCs w:val="32"/>
          <w:lang w:val="en-US" w:eastAsia="zh-CN"/>
        </w:rPr>
      </w:pPr>
      <w:r>
        <w:rPr>
          <w:rFonts w:hint="eastAsia" w:ascii="仿宋" w:hAnsi="仿宋" w:eastAsia="仿宋" w:cs="宋体-18030"/>
          <w:b w:val="0"/>
          <w:bCs/>
          <w:color w:val="000000"/>
          <w:kern w:val="0"/>
          <w:sz w:val="32"/>
          <w:szCs w:val="32"/>
          <w:lang w:val="en-US" w:eastAsia="zh-CN"/>
        </w:rPr>
        <w:t xml:space="preserve">上半年，政府性基金支出累计完成82801万元，同比增长26.6%，增支17381万元。 </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3" w:firstLineChars="200"/>
        <w:textAlignment w:val="auto"/>
        <w:outlineLvl w:val="9"/>
        <w:rPr>
          <w:rFonts w:hint="eastAsia" w:ascii="楷体" w:hAnsi="楷体" w:eastAsia="楷体" w:cs="楷体"/>
          <w:b/>
          <w:bCs/>
          <w:color w:val="000000"/>
          <w:sz w:val="32"/>
          <w:szCs w:val="32"/>
          <w:lang w:val="en-US" w:eastAsia="zh-CN"/>
        </w:rPr>
      </w:pPr>
      <w:r>
        <w:rPr>
          <w:rFonts w:hint="eastAsia" w:ascii="楷体" w:hAnsi="楷体" w:eastAsia="楷体" w:cs="楷体"/>
          <w:b/>
          <w:bCs/>
          <w:color w:val="000000"/>
          <w:sz w:val="32"/>
          <w:szCs w:val="32"/>
          <w:lang w:val="en-US" w:eastAsia="zh-CN"/>
        </w:rPr>
        <w:t>（三）社保基金预算收支完成情况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1、社保基金预算收支完成情况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Cs/>
          <w:color w:val="000000"/>
          <w:kern w:val="0"/>
          <w:sz w:val="32"/>
          <w:szCs w:val="32"/>
          <w:lang w:val="en-US" w:eastAsia="zh-CN"/>
        </w:rPr>
        <w:t>上半年，社会保险基金收入完成100754万元</w:t>
      </w:r>
      <w:r>
        <w:rPr>
          <w:rFonts w:hint="eastAsia" w:ascii="仿宋" w:hAnsi="仿宋" w:eastAsia="仿宋" w:cs="仿宋"/>
          <w:b w:val="0"/>
          <w:bCs w:val="0"/>
          <w:color w:val="000000"/>
          <w:sz w:val="32"/>
          <w:szCs w:val="32"/>
          <w:lang w:val="en-US" w:eastAsia="zh-CN"/>
        </w:rPr>
        <w:t>，完成年度</w:t>
      </w:r>
      <w:r>
        <w:rPr>
          <w:rFonts w:hint="eastAsia" w:ascii="仿宋" w:hAnsi="仿宋" w:eastAsia="仿宋" w:cs="宋体-18030"/>
          <w:b w:val="0"/>
          <w:bCs/>
          <w:color w:val="000000"/>
          <w:kern w:val="0"/>
          <w:sz w:val="32"/>
          <w:szCs w:val="32"/>
          <w:lang w:val="en-US" w:eastAsia="zh-CN"/>
        </w:rPr>
        <w:t>预算的72%。</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2、社保基金预算支出完成情况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 w:val="0"/>
          <w:bCs/>
          <w:color w:val="000000"/>
          <w:kern w:val="0"/>
          <w:sz w:val="32"/>
          <w:szCs w:val="32"/>
          <w:lang w:val="en-US" w:eastAsia="zh-CN"/>
        </w:rPr>
        <w:t>上半年，社会保险基金支出完成100712万元，完成年度预算的71%。</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3" w:firstLineChars="200"/>
        <w:textAlignment w:val="auto"/>
        <w:outlineLvl w:val="9"/>
        <w:rPr>
          <w:rFonts w:hint="eastAsia" w:ascii="楷体" w:hAnsi="楷体" w:eastAsia="楷体" w:cs="楷体"/>
          <w:b/>
          <w:bCs/>
          <w:color w:val="000000"/>
          <w:sz w:val="32"/>
          <w:szCs w:val="32"/>
          <w:lang w:val="en-US" w:eastAsia="zh-CN"/>
        </w:rPr>
      </w:pPr>
      <w:r>
        <w:rPr>
          <w:rFonts w:hint="eastAsia" w:ascii="楷体" w:hAnsi="楷体" w:eastAsia="楷体" w:cs="楷体"/>
          <w:b/>
          <w:bCs/>
          <w:color w:val="000000"/>
          <w:sz w:val="32"/>
          <w:szCs w:val="32"/>
          <w:lang w:val="en-US" w:eastAsia="zh-CN"/>
        </w:rPr>
        <w:t>（四）国有资本经营预算收支完成情况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1、国有资本经营预算收入完成情况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 w:val="0"/>
          <w:bCs/>
          <w:color w:val="000000"/>
          <w:kern w:val="0"/>
          <w:sz w:val="32"/>
          <w:szCs w:val="32"/>
          <w:lang w:val="en-US" w:eastAsia="zh-CN"/>
        </w:rPr>
        <w:t>上半年，国有资本经营收入完成300万元，完成年度预算的60%。</w:t>
      </w:r>
    </w:p>
    <w:p>
      <w:pPr>
        <w:keepNext w:val="0"/>
        <w:keepLines w:val="0"/>
        <w:pageBreakBefore w:val="0"/>
        <w:kinsoku/>
        <w:wordWrap/>
        <w:overflowPunct/>
        <w:topLinePunct w:val="0"/>
        <w:autoSpaceDE w:val="0"/>
        <w:autoSpaceDN w:val="0"/>
        <w:bidi w:val="0"/>
        <w:adjustRightInd w:val="0"/>
        <w:spacing w:line="640" w:lineRule="exact"/>
        <w:ind w:right="0" w:rightChars="0" w:firstLine="720" w:firstLineChars="224"/>
        <w:jc w:val="left"/>
        <w:textAlignment w:val="auto"/>
        <w:outlineLvl w:val="9"/>
        <w:rPr>
          <w:rFonts w:hint="eastAsia" w:ascii="仿宋" w:hAnsi="仿宋" w:eastAsia="仿宋" w:cs="宋体-18030"/>
          <w:b/>
          <w:bCs w:val="0"/>
          <w:color w:val="000000"/>
          <w:kern w:val="0"/>
          <w:sz w:val="32"/>
          <w:szCs w:val="32"/>
          <w:lang w:val="en-US" w:eastAsia="zh-CN"/>
        </w:rPr>
      </w:pPr>
      <w:r>
        <w:rPr>
          <w:rFonts w:hint="eastAsia" w:ascii="仿宋" w:hAnsi="仿宋" w:eastAsia="仿宋" w:cs="宋体-18030"/>
          <w:b/>
          <w:bCs w:val="0"/>
          <w:color w:val="000000"/>
          <w:kern w:val="0"/>
          <w:sz w:val="32"/>
          <w:szCs w:val="32"/>
          <w:lang w:val="en-US" w:eastAsia="zh-CN"/>
        </w:rPr>
        <w:t>2、国有资本经营预算支出完成情况</w:t>
      </w:r>
    </w:p>
    <w:p>
      <w:pPr>
        <w:keepNext w:val="0"/>
        <w:keepLines w:val="0"/>
        <w:pageBreakBefore w:val="0"/>
        <w:kinsoku/>
        <w:wordWrap/>
        <w:overflowPunct/>
        <w:topLinePunct w:val="0"/>
        <w:autoSpaceDE w:val="0"/>
        <w:autoSpaceDN w:val="0"/>
        <w:bidi w:val="0"/>
        <w:adjustRightInd w:val="0"/>
        <w:spacing w:line="640" w:lineRule="exact"/>
        <w:ind w:right="0" w:rightChars="0" w:firstLine="716" w:firstLineChars="224"/>
        <w:jc w:val="left"/>
        <w:textAlignment w:val="auto"/>
        <w:outlineLvl w:val="9"/>
        <w:rPr>
          <w:rFonts w:hint="eastAsia" w:ascii="仿宋" w:hAnsi="仿宋" w:eastAsia="仿宋" w:cs="宋体-18030"/>
          <w:b w:val="0"/>
          <w:bCs/>
          <w:color w:val="000000"/>
          <w:kern w:val="0"/>
          <w:sz w:val="32"/>
          <w:szCs w:val="32"/>
          <w:lang w:val="en-US" w:eastAsia="zh-CN"/>
        </w:rPr>
      </w:pPr>
      <w:r>
        <w:rPr>
          <w:rFonts w:hint="eastAsia" w:ascii="仿宋" w:hAnsi="仿宋" w:eastAsia="仿宋" w:cs="宋体-18030"/>
          <w:b w:val="0"/>
          <w:bCs/>
          <w:color w:val="000000"/>
          <w:kern w:val="0"/>
          <w:sz w:val="32"/>
          <w:szCs w:val="32"/>
          <w:lang w:val="en-US" w:eastAsia="zh-CN"/>
        </w:rPr>
        <w:t>上半年，国有资本经营支出完成240万元，完成年度预算的48%。</w:t>
      </w:r>
    </w:p>
    <w:p>
      <w:pPr>
        <w:keepNext w:val="0"/>
        <w:keepLines w:val="0"/>
        <w:pageBreakBefore w:val="0"/>
        <w:widowControl w:val="0"/>
        <w:kinsoku/>
        <w:wordWrap/>
        <w:overflowPunct/>
        <w:topLinePunct w:val="0"/>
        <w:autoSpaceDE/>
        <w:autoSpaceDN/>
        <w:bidi w:val="0"/>
        <w:adjustRightInd/>
        <w:snapToGrid/>
        <w:spacing w:line="640" w:lineRule="exact"/>
        <w:ind w:right="0" w:rightChars="0" w:firstLine="720" w:firstLineChars="224"/>
        <w:textAlignment w:val="auto"/>
        <w:outlineLvl w:val="9"/>
        <w:rPr>
          <w:rFonts w:hint="eastAsia" w:ascii="黑体" w:hAnsi="黑体" w:eastAsia="黑体"/>
          <w:b/>
          <w:color w:val="000000"/>
          <w:sz w:val="32"/>
          <w:szCs w:val="32"/>
        </w:rPr>
      </w:pPr>
      <w:r>
        <w:rPr>
          <w:rFonts w:hint="eastAsia" w:ascii="黑体" w:hAnsi="黑体" w:eastAsia="黑体"/>
          <w:b/>
          <w:color w:val="000000"/>
          <w:sz w:val="32"/>
          <w:szCs w:val="32"/>
          <w:lang w:val="en-US" w:eastAsia="zh-CN"/>
        </w:rPr>
        <w:t>三</w:t>
      </w:r>
      <w:r>
        <w:rPr>
          <w:rFonts w:hint="eastAsia" w:ascii="黑体" w:hAnsi="黑体" w:eastAsia="黑体"/>
          <w:b/>
          <w:color w:val="000000"/>
          <w:sz w:val="32"/>
          <w:szCs w:val="32"/>
        </w:rPr>
        <w:t>、</w:t>
      </w:r>
      <w:r>
        <w:rPr>
          <w:rFonts w:hint="eastAsia" w:ascii="黑体" w:hAnsi="黑体" w:eastAsia="黑体"/>
          <w:b/>
          <w:color w:val="000000"/>
          <w:sz w:val="32"/>
          <w:szCs w:val="32"/>
          <w:lang w:eastAsia="zh-CN"/>
        </w:rPr>
        <w:t>20</w:t>
      </w:r>
      <w:r>
        <w:rPr>
          <w:rFonts w:hint="eastAsia" w:ascii="黑体" w:hAnsi="黑体" w:eastAsia="黑体"/>
          <w:b/>
          <w:color w:val="000000"/>
          <w:sz w:val="32"/>
          <w:szCs w:val="32"/>
          <w:lang w:val="en-US" w:eastAsia="zh-CN"/>
        </w:rPr>
        <w:t>21</w:t>
      </w:r>
      <w:r>
        <w:rPr>
          <w:rFonts w:hint="eastAsia" w:ascii="黑体" w:hAnsi="黑体" w:eastAsia="黑体"/>
          <w:b/>
          <w:color w:val="000000"/>
          <w:sz w:val="32"/>
          <w:szCs w:val="32"/>
          <w:lang w:eastAsia="zh-CN"/>
        </w:rPr>
        <w:t>年</w:t>
      </w:r>
      <w:r>
        <w:rPr>
          <w:rFonts w:hint="eastAsia" w:ascii="黑体" w:hAnsi="黑体" w:eastAsia="黑体"/>
          <w:b/>
          <w:color w:val="000000"/>
          <w:sz w:val="32"/>
          <w:szCs w:val="32"/>
        </w:rPr>
        <w:t>上半年财政工作开展情况</w:t>
      </w:r>
    </w:p>
    <w:p>
      <w:pPr>
        <w:keepNext w:val="0"/>
        <w:keepLines w:val="0"/>
        <w:pageBreakBefore w:val="0"/>
        <w:numPr>
          <w:ilvl w:val="0"/>
          <w:numId w:val="1"/>
        </w:numPr>
        <w:kinsoku/>
        <w:wordWrap/>
        <w:overflowPunct/>
        <w:topLinePunct w:val="0"/>
        <w:autoSpaceDE/>
        <w:bidi w:val="0"/>
        <w:spacing w:line="640" w:lineRule="exact"/>
        <w:ind w:left="0" w:leftChars="0" w:right="0" w:rightChars="0" w:firstLine="643" w:firstLineChars="200"/>
        <w:jc w:val="both"/>
        <w:textAlignment w:val="auto"/>
        <w:outlineLvl w:val="9"/>
        <w:rPr>
          <w:rFonts w:hint="eastAsia" w:ascii="楷体" w:hAnsi="楷体" w:eastAsia="楷体" w:cs="楷体"/>
          <w:b/>
          <w:bCs/>
          <w:color w:val="000000"/>
          <w:kern w:val="2"/>
          <w:sz w:val="32"/>
          <w:szCs w:val="32"/>
          <w:lang w:val="en-US" w:eastAsia="zh-CN" w:bidi="ar-SA"/>
        </w:rPr>
      </w:pPr>
      <w:r>
        <w:rPr>
          <w:rFonts w:hint="eastAsia" w:ascii="楷体" w:hAnsi="楷体" w:eastAsia="楷体" w:cs="楷体"/>
          <w:b/>
          <w:bCs/>
          <w:color w:val="000000"/>
          <w:kern w:val="2"/>
          <w:sz w:val="32"/>
          <w:szCs w:val="32"/>
          <w:lang w:val="en-US" w:eastAsia="zh-CN" w:bidi="ar-SA"/>
        </w:rPr>
        <w:t>抓好综合治税，征管水平持续提升</w:t>
      </w:r>
    </w:p>
    <w:p>
      <w:pPr>
        <w:keepNext w:val="0"/>
        <w:keepLines w:val="0"/>
        <w:pageBreakBefore w:val="0"/>
        <w:kinsoku/>
        <w:wordWrap/>
        <w:overflowPunct/>
        <w:topLinePunct w:val="0"/>
        <w:autoSpaceDE/>
        <w:bidi w:val="0"/>
        <w:spacing w:line="640" w:lineRule="exact"/>
        <w:ind w:left="0" w:leftChars="0" w:right="0" w:rightChars="0" w:firstLine="640" w:firstLineChars="200"/>
        <w:jc w:val="both"/>
        <w:textAlignment w:val="auto"/>
        <w:outlineLvl w:val="9"/>
        <w:rPr>
          <w:rFonts w:hint="eastAsia" w:ascii="仿宋" w:hAnsi="仿宋" w:eastAsia="仿宋" w:cs="仿宋"/>
          <w:b/>
          <w:bCs/>
          <w:color w:val="000000"/>
          <w:kern w:val="0"/>
          <w:sz w:val="32"/>
          <w:szCs w:val="32"/>
          <w:lang w:val="en-US"/>
        </w:rPr>
      </w:pPr>
      <w:r>
        <w:rPr>
          <w:rFonts w:hint="eastAsia" w:ascii="仿宋" w:hAnsi="仿宋" w:eastAsia="仿宋" w:cs="仿宋"/>
          <w:color w:val="auto"/>
          <w:kern w:val="0"/>
          <w:sz w:val="32"/>
          <w:szCs w:val="32"/>
          <w:lang w:val="en-US" w:eastAsia="zh-CN"/>
        </w:rPr>
        <w:t>通过分行业、分领域施策，夯实税源基础，落实国家各项减税降费政策，大力促进供给侧结构性改革，持续加大减税降费力度，切实实施小微企业普惠性税收减免政策，提升工作成效，我区1-6月份减轻企业负担减税降费达到3139.49万元，新冠疫情期间减税降费政策在减轻企业负担效应方面逐渐体现，实体经济发展得到有效促进，尤其是对产业园区企业发展壮大起到极大的推进作用。在落实减税降费政策的同时，我局在2020年的基础上，</w:t>
      </w:r>
      <w:r>
        <w:rPr>
          <w:rFonts w:hint="eastAsia" w:ascii="仿宋" w:hAnsi="仿宋" w:eastAsia="仿宋" w:cs="仿宋"/>
          <w:color w:val="000000"/>
          <w:kern w:val="0"/>
          <w:sz w:val="32"/>
          <w:szCs w:val="32"/>
          <w:lang w:val="en-US" w:eastAsia="zh-CN"/>
        </w:rPr>
        <w:t>创新综合治税工作体系，通过提升组织管理层级，加强部门协同，提升综合治税管理水平；通过创新核查方法，夯实税源基础；严格工作纪律，提升服务水平，落实专项征缴等方式，提升工作成效；</w:t>
      </w:r>
      <w:r>
        <w:rPr>
          <w:rFonts w:hint="eastAsia" w:ascii="仿宋" w:hAnsi="仿宋" w:eastAsia="仿宋" w:cs="仿宋"/>
          <w:b w:val="0"/>
          <w:bCs w:val="0"/>
          <w:color w:val="000000"/>
          <w:sz w:val="32"/>
          <w:szCs w:val="32"/>
          <w:lang w:val="en-US" w:eastAsia="zh-CN"/>
        </w:rPr>
        <w:t>通过综合治税工作的开展，</w:t>
      </w:r>
      <w:r>
        <w:rPr>
          <w:rFonts w:hint="eastAsia" w:ascii="仿宋" w:hAnsi="仿宋" w:eastAsia="仿宋" w:cs="仿宋"/>
          <w:b w:val="0"/>
          <w:bCs w:val="0"/>
          <w:color w:val="000000"/>
          <w:kern w:val="0"/>
          <w:sz w:val="32"/>
          <w:szCs w:val="32"/>
          <w:lang w:val="en-US" w:eastAsia="zh-CN"/>
        </w:rPr>
        <w:t>全区税收收入得到较快增长。上半年，我区</w:t>
      </w:r>
      <w:r>
        <w:rPr>
          <w:rFonts w:hint="eastAsia" w:ascii="仿宋" w:hAnsi="仿宋" w:eastAsia="仿宋" w:cs="仿宋"/>
          <w:bCs/>
          <w:color w:val="000000"/>
          <w:sz w:val="32"/>
          <w:szCs w:val="32"/>
          <w:lang w:val="en-US" w:eastAsia="zh-CN"/>
        </w:rPr>
        <w:t>税收收入累计完成47600万元，同比增长13.3%，增收5589万元。</w:t>
      </w:r>
    </w:p>
    <w:p>
      <w:pPr>
        <w:keepNext w:val="0"/>
        <w:keepLines w:val="0"/>
        <w:pageBreakBefore w:val="0"/>
        <w:numPr>
          <w:ilvl w:val="0"/>
          <w:numId w:val="1"/>
        </w:numPr>
        <w:kinsoku/>
        <w:wordWrap/>
        <w:overflowPunct/>
        <w:topLinePunct w:val="0"/>
        <w:autoSpaceDE/>
        <w:bidi w:val="0"/>
        <w:spacing w:line="640" w:lineRule="exact"/>
        <w:ind w:left="0" w:leftChars="0" w:right="0" w:rightChars="0" w:firstLine="643" w:firstLineChars="200"/>
        <w:jc w:val="both"/>
        <w:textAlignment w:val="auto"/>
        <w:outlineLvl w:val="9"/>
        <w:rPr>
          <w:rFonts w:hint="eastAsia" w:ascii="楷体" w:hAnsi="楷体" w:eastAsia="楷体" w:cs="楷体"/>
          <w:b/>
          <w:bCs/>
          <w:color w:val="000000"/>
          <w:kern w:val="0"/>
          <w:sz w:val="32"/>
          <w:szCs w:val="32"/>
          <w:lang w:val="en-US"/>
        </w:rPr>
      </w:pPr>
      <w:r>
        <w:rPr>
          <w:rFonts w:hint="eastAsia" w:ascii="楷体" w:hAnsi="楷体" w:eastAsia="楷体" w:cs="楷体"/>
          <w:b/>
          <w:bCs/>
          <w:color w:val="000000"/>
          <w:kern w:val="0"/>
          <w:sz w:val="32"/>
          <w:szCs w:val="32"/>
          <w:lang w:val="en-US" w:eastAsia="zh-CN"/>
        </w:rPr>
        <w:t>抓好“双争”，外生动力持续提升</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640" w:lineRule="exact"/>
        <w:ind w:left="0" w:leftChars="0" w:right="0" w:rightChars="0" w:firstLine="640" w:firstLineChars="200"/>
        <w:jc w:val="both"/>
        <w:textAlignment w:val="auto"/>
        <w:outlineLvl w:val="9"/>
        <w:rPr>
          <w:rFonts w:hint="eastAsia" w:ascii="仿宋" w:hAnsi="仿宋" w:eastAsia="仿宋" w:cs="仿宋"/>
          <w:color w:val="000000"/>
          <w:kern w:val="2"/>
          <w:sz w:val="32"/>
          <w:szCs w:val="32"/>
          <w:highlight w:val="yellow"/>
          <w:lang w:val="en-US" w:eastAsia="zh-CN" w:bidi="ar"/>
        </w:rPr>
      </w:pPr>
      <w:r>
        <w:rPr>
          <w:rFonts w:hint="eastAsia" w:ascii="仿宋" w:hAnsi="仿宋" w:eastAsia="仿宋" w:cs="仿宋"/>
          <w:color w:val="000000"/>
          <w:kern w:val="0"/>
          <w:sz w:val="32"/>
          <w:szCs w:val="32"/>
        </w:rPr>
        <w:t>围绕</w:t>
      </w:r>
      <w:r>
        <w:rPr>
          <w:rFonts w:hint="eastAsia" w:ascii="仿宋" w:hAnsi="仿宋" w:eastAsia="仿宋" w:cs="仿宋"/>
          <w:color w:val="000000"/>
          <w:kern w:val="0"/>
          <w:sz w:val="32"/>
          <w:szCs w:val="32"/>
          <w:lang w:val="en-US" w:eastAsia="zh-CN"/>
        </w:rPr>
        <w:t>巩固脱贫攻坚成效</w:t>
      </w:r>
      <w:r>
        <w:rPr>
          <w:rFonts w:hint="eastAsia" w:ascii="仿宋" w:hAnsi="仿宋" w:eastAsia="仿宋" w:cs="仿宋"/>
          <w:color w:val="000000"/>
          <w:kern w:val="0"/>
          <w:sz w:val="32"/>
          <w:szCs w:val="32"/>
        </w:rPr>
        <w:t>、民生改善、基础设施建设、</w:t>
      </w:r>
      <w:r>
        <w:rPr>
          <w:rFonts w:hint="eastAsia" w:ascii="仿宋" w:hAnsi="仿宋" w:eastAsia="仿宋" w:cs="仿宋"/>
          <w:color w:val="000000"/>
          <w:kern w:val="0"/>
          <w:sz w:val="32"/>
          <w:szCs w:val="32"/>
          <w:lang w:val="en-US" w:eastAsia="zh-CN"/>
        </w:rPr>
        <w:t>环境改善</w:t>
      </w:r>
      <w:r>
        <w:rPr>
          <w:rFonts w:hint="eastAsia" w:ascii="仿宋" w:hAnsi="仿宋" w:eastAsia="仿宋" w:cs="仿宋"/>
          <w:color w:val="000000"/>
          <w:kern w:val="0"/>
          <w:sz w:val="32"/>
          <w:szCs w:val="32"/>
        </w:rPr>
        <w:t>等方面，找准</w:t>
      </w:r>
      <w:r>
        <w:rPr>
          <w:rFonts w:hint="eastAsia" w:ascii="仿宋" w:hAnsi="仿宋" w:eastAsia="仿宋" w:cs="仿宋"/>
          <w:color w:val="000000"/>
          <w:kern w:val="0"/>
          <w:sz w:val="32"/>
          <w:szCs w:val="32"/>
          <w:lang w:val="en-US" w:eastAsia="zh-CN"/>
        </w:rPr>
        <w:t>着力点、关键点</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lang w:val="en-US" w:eastAsia="zh-CN"/>
        </w:rPr>
        <w:t>“双争”工作成效显著</w:t>
      </w:r>
      <w:r>
        <w:rPr>
          <w:rFonts w:hint="eastAsia" w:ascii="仿宋" w:hAnsi="仿宋" w:eastAsia="仿宋" w:cs="仿宋"/>
          <w:color w:val="000000"/>
          <w:sz w:val="32"/>
          <w:szCs w:val="32"/>
          <w:lang w:val="en-US" w:eastAsia="zh-CN"/>
        </w:rPr>
        <w:t>。上半年，</w:t>
      </w:r>
      <w:r>
        <w:rPr>
          <w:rFonts w:hint="eastAsia" w:ascii="仿宋" w:hAnsi="仿宋" w:eastAsia="仿宋" w:cs="仿宋"/>
          <w:color w:val="000000"/>
          <w:kern w:val="2"/>
          <w:sz w:val="32"/>
          <w:szCs w:val="32"/>
          <w:lang w:val="en-US" w:eastAsia="zh-CN" w:bidi="ar"/>
        </w:rPr>
        <w:t>争取2021年新增政府债券限额12.11亿元，其中一般债券限额1.5亿元</w:t>
      </w:r>
      <w:r>
        <w:rPr>
          <w:rFonts w:hint="eastAsia" w:ascii="黑体" w:hAnsi="黑体" w:eastAsia="黑体" w:cs="黑体"/>
          <w:color w:val="000000"/>
          <w:kern w:val="2"/>
          <w:sz w:val="32"/>
          <w:szCs w:val="32"/>
          <w:lang w:val="en-US" w:eastAsia="zh-CN" w:bidi="ar"/>
        </w:rPr>
        <w:t>。</w:t>
      </w:r>
    </w:p>
    <w:p>
      <w:pPr>
        <w:pStyle w:val="2"/>
        <w:keepNext w:val="0"/>
        <w:keepLines w:val="0"/>
        <w:pageBreakBefore w:val="0"/>
        <w:numPr>
          <w:ilvl w:val="0"/>
          <w:numId w:val="1"/>
        </w:numPr>
        <w:kinsoku/>
        <w:wordWrap/>
        <w:overflowPunct/>
        <w:topLinePunct w:val="0"/>
        <w:autoSpaceDE/>
        <w:bidi w:val="0"/>
        <w:spacing w:after="0" w:line="640" w:lineRule="exact"/>
        <w:ind w:left="0" w:leftChars="0" w:right="0" w:rightChars="0" w:firstLine="643" w:firstLineChars="200"/>
        <w:jc w:val="both"/>
        <w:textAlignment w:val="auto"/>
        <w:outlineLvl w:val="9"/>
        <w:rPr>
          <w:rFonts w:hint="eastAsia" w:ascii="楷体" w:hAnsi="楷体" w:eastAsia="楷体" w:cs="楷体"/>
          <w:b/>
          <w:bCs/>
          <w:color w:val="000000"/>
          <w:kern w:val="0"/>
          <w:sz w:val="32"/>
          <w:szCs w:val="32"/>
          <w:lang w:val="en-US" w:eastAsia="zh-CN" w:bidi="ar-SA"/>
        </w:rPr>
      </w:pPr>
      <w:r>
        <w:rPr>
          <w:rFonts w:hint="eastAsia" w:ascii="楷体" w:hAnsi="楷体" w:eastAsia="楷体" w:cs="楷体"/>
          <w:b/>
          <w:bCs/>
          <w:color w:val="000000"/>
          <w:kern w:val="0"/>
          <w:sz w:val="32"/>
          <w:szCs w:val="32"/>
          <w:lang w:val="en-US" w:eastAsia="zh-CN" w:bidi="ar-SA"/>
        </w:rPr>
        <w:t>抓好支出管理，保障能力持续提升</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640" w:lineRule="exact"/>
        <w:ind w:left="0" w:leftChars="0" w:right="0" w:rightChars="0" w:firstLine="640" w:firstLineChars="200"/>
        <w:jc w:val="both"/>
        <w:textAlignment w:val="auto"/>
        <w:outlineLvl w:val="9"/>
        <w:rPr>
          <w:rFonts w:hint="eastAsia" w:ascii="仿宋" w:hAnsi="仿宋" w:eastAsia="仿宋" w:cs="仿宋"/>
          <w:color w:val="auto"/>
          <w:sz w:val="32"/>
          <w:szCs w:val="32"/>
          <w:highlight w:val="none"/>
          <w:lang w:eastAsia="zh-CN"/>
        </w:rPr>
      </w:pPr>
      <w:r>
        <w:rPr>
          <w:rFonts w:hint="eastAsia" w:ascii="仿宋" w:hAnsi="仿宋" w:eastAsia="仿宋" w:cs="仿宋"/>
          <w:color w:val="000000"/>
          <w:kern w:val="0"/>
          <w:sz w:val="32"/>
          <w:szCs w:val="32"/>
          <w:lang w:val="en-US" w:eastAsia="zh-CN" w:bidi="ar-SA"/>
        </w:rPr>
        <w:t>积极筹措资金，服务全区经济发展，把支持经济社会发展作为财政工作的重点。及时</w:t>
      </w:r>
      <w:r>
        <w:rPr>
          <w:rFonts w:hint="eastAsia" w:ascii="仿宋" w:hAnsi="仿宋" w:eastAsia="仿宋" w:cs="仿宋"/>
          <w:b w:val="0"/>
          <w:bCs w:val="0"/>
          <w:color w:val="000000"/>
          <w:sz w:val="32"/>
          <w:szCs w:val="32"/>
          <w:lang w:val="en-US" w:eastAsia="zh-CN"/>
        </w:rPr>
        <w:t>拨付城市基础设施建设等三十重点工程支出和征地及拆迁补偿支出，保障了省市重点工程和我区“三十工程”的顺利实施。</w:t>
      </w:r>
      <w:r>
        <w:rPr>
          <w:rFonts w:hint="eastAsia" w:ascii="仿宋" w:hAnsi="仿宋" w:eastAsia="仿宋" w:cs="仿宋"/>
          <w:b w:val="0"/>
          <w:bCs w:val="0"/>
          <w:color w:val="000000"/>
          <w:kern w:val="0"/>
          <w:sz w:val="32"/>
          <w:szCs w:val="32"/>
          <w:lang w:val="en-US" w:eastAsia="zh-CN" w:bidi="ar-SA"/>
        </w:rPr>
        <w:t>累计拨付各类工资、津补</w:t>
      </w:r>
      <w:r>
        <w:rPr>
          <w:rFonts w:hint="eastAsia" w:ascii="仿宋" w:hAnsi="仿宋" w:eastAsia="仿宋" w:cs="仿宋"/>
          <w:b w:val="0"/>
          <w:bCs w:val="0"/>
          <w:color w:val="000000"/>
          <w:sz w:val="32"/>
          <w:szCs w:val="32"/>
          <w:lang w:val="en-US" w:eastAsia="zh-CN"/>
        </w:rPr>
        <w:t>贴11.2亿元，保证了财供人员工资的正常发放；累计拨付各类办公经费1.7亿元，保障了全区各级党政机关和区直各部门的正常运转；累计拨付各类社</w:t>
      </w:r>
      <w:r>
        <w:rPr>
          <w:rFonts w:hint="eastAsia" w:ascii="仿宋" w:hAnsi="仿宋" w:eastAsia="仿宋" w:cs="仿宋"/>
          <w:b w:val="0"/>
          <w:bCs w:val="0"/>
          <w:color w:val="000000"/>
          <w:kern w:val="0"/>
          <w:sz w:val="32"/>
          <w:szCs w:val="32"/>
          <w:lang w:val="en-US" w:eastAsia="zh-CN" w:bidi="ar-SA"/>
        </w:rPr>
        <w:t>保资金11.38亿元，及时足额发放各类民生资金，保障了各项民生实事的落实。</w:t>
      </w:r>
      <w:r>
        <w:rPr>
          <w:rFonts w:hint="eastAsia" w:ascii="仿宋" w:hAnsi="仿宋" w:eastAsia="仿宋" w:cs="仿宋"/>
          <w:color w:val="000000"/>
          <w:sz w:val="32"/>
          <w:szCs w:val="32"/>
        </w:rPr>
        <w:t>实现了保工资、保运转、保民生的</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三保</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工作</w:t>
      </w:r>
      <w:r>
        <w:rPr>
          <w:rFonts w:hint="eastAsia" w:ascii="仿宋" w:hAnsi="仿宋" w:eastAsia="仿宋" w:cs="仿宋"/>
          <w:color w:val="000000"/>
          <w:sz w:val="32"/>
          <w:szCs w:val="32"/>
        </w:rPr>
        <w:t>目标</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同时，</w:t>
      </w:r>
      <w:r>
        <w:rPr>
          <w:rFonts w:hint="eastAsia" w:ascii="仿宋" w:hAnsi="仿宋" w:eastAsia="仿宋" w:cs="仿宋"/>
          <w:color w:val="auto"/>
          <w:sz w:val="32"/>
          <w:szCs w:val="32"/>
          <w:lang w:val="en-US" w:eastAsia="zh-CN"/>
        </w:rPr>
        <w:t>为防止新冠疫情抬头，</w:t>
      </w:r>
      <w:r>
        <w:rPr>
          <w:rFonts w:hint="eastAsia" w:ascii="仿宋" w:hAnsi="仿宋" w:eastAsia="仿宋" w:cs="仿宋"/>
          <w:sz w:val="32"/>
          <w:szCs w:val="32"/>
        </w:rPr>
        <w:t>第一时间拨付疫情防控</w:t>
      </w:r>
      <w:r>
        <w:rPr>
          <w:rFonts w:hint="eastAsia" w:ascii="仿宋" w:hAnsi="仿宋" w:eastAsia="仿宋" w:cs="仿宋"/>
          <w:sz w:val="32"/>
          <w:szCs w:val="32"/>
          <w:lang w:val="en-US" w:eastAsia="zh-CN"/>
        </w:rPr>
        <w:t>相关</w:t>
      </w:r>
      <w:r>
        <w:rPr>
          <w:rFonts w:hint="eastAsia" w:ascii="仿宋" w:hAnsi="仿宋" w:eastAsia="仿宋" w:cs="仿宋"/>
          <w:sz w:val="32"/>
          <w:szCs w:val="32"/>
        </w:rPr>
        <w:t>资金，确保经费足额保障、资金拨付到位，做到了“文到随时发、事到随时办、钱到随时拨”。截止</w:t>
      </w:r>
      <w:r>
        <w:rPr>
          <w:rFonts w:hint="eastAsia" w:ascii="仿宋" w:hAnsi="仿宋" w:eastAsia="仿宋" w:cs="仿宋"/>
          <w:sz w:val="32"/>
          <w:szCs w:val="32"/>
          <w:lang w:val="en-US" w:eastAsia="zh-CN"/>
        </w:rPr>
        <w:t>6月底</w:t>
      </w:r>
      <w:r>
        <w:rPr>
          <w:rFonts w:hint="eastAsia" w:ascii="仿宋" w:hAnsi="仿宋" w:eastAsia="仿宋" w:cs="仿宋"/>
          <w:sz w:val="32"/>
          <w:szCs w:val="32"/>
        </w:rPr>
        <w:t>，共拨付疫情</w:t>
      </w:r>
      <w:r>
        <w:rPr>
          <w:rFonts w:hint="eastAsia" w:ascii="仿宋" w:hAnsi="仿宋" w:eastAsia="仿宋" w:cs="仿宋"/>
          <w:sz w:val="32"/>
          <w:szCs w:val="32"/>
          <w:highlight w:val="none"/>
        </w:rPr>
        <w:t>防控资金共计</w:t>
      </w:r>
      <w:r>
        <w:rPr>
          <w:rFonts w:hint="eastAsia" w:ascii="仿宋" w:hAnsi="仿宋" w:eastAsia="仿宋" w:cs="仿宋"/>
          <w:sz w:val="32"/>
          <w:szCs w:val="32"/>
          <w:highlight w:val="none"/>
          <w:lang w:val="en-US" w:eastAsia="zh-CN"/>
        </w:rPr>
        <w:t>313</w:t>
      </w:r>
      <w:r>
        <w:rPr>
          <w:rFonts w:hint="eastAsia" w:ascii="仿宋" w:hAnsi="仿宋" w:eastAsia="仿宋" w:cs="仿宋"/>
          <w:sz w:val="32"/>
          <w:szCs w:val="32"/>
          <w:highlight w:val="none"/>
        </w:rPr>
        <w:t>万元。</w:t>
      </w:r>
    </w:p>
    <w:p>
      <w:pPr>
        <w:pStyle w:val="2"/>
        <w:keepNext w:val="0"/>
        <w:keepLines w:val="0"/>
        <w:pageBreakBefore w:val="0"/>
        <w:numPr>
          <w:ilvl w:val="0"/>
          <w:numId w:val="1"/>
        </w:numPr>
        <w:kinsoku/>
        <w:wordWrap/>
        <w:overflowPunct/>
        <w:topLinePunct w:val="0"/>
        <w:autoSpaceDE/>
        <w:bidi w:val="0"/>
        <w:spacing w:after="0" w:line="640" w:lineRule="exact"/>
        <w:ind w:left="0" w:leftChars="0" w:right="0" w:rightChars="0" w:firstLine="643" w:firstLineChars="200"/>
        <w:jc w:val="both"/>
        <w:textAlignment w:val="auto"/>
        <w:outlineLvl w:val="9"/>
        <w:rPr>
          <w:rFonts w:hint="eastAsia" w:ascii="仿宋" w:hAnsi="仿宋" w:eastAsia="仿宋" w:cs="仿宋"/>
          <w:b/>
          <w:bCs/>
          <w:color w:val="000000"/>
          <w:sz w:val="32"/>
          <w:szCs w:val="32"/>
          <w:lang w:val="en-US" w:eastAsia="zh-CN"/>
        </w:rPr>
      </w:pPr>
      <w:r>
        <w:rPr>
          <w:rFonts w:hint="eastAsia" w:ascii="楷体" w:hAnsi="楷体" w:eastAsia="楷体" w:cs="楷体"/>
          <w:b/>
          <w:bCs/>
          <w:color w:val="auto"/>
          <w:kern w:val="0"/>
          <w:sz w:val="32"/>
          <w:szCs w:val="32"/>
          <w:lang w:val="en-US" w:eastAsia="zh-CN" w:bidi="ar-SA"/>
        </w:rPr>
        <w:t>抓好政策落实，攻坚成效持续提升</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spacing w:before="0" w:beforeAutospacing="0" w:after="0" w:afterAutospacing="0" w:line="640" w:lineRule="exact"/>
        <w:ind w:left="0" w:leftChars="0" w:right="0" w:firstLine="640" w:firstLineChars="200"/>
        <w:jc w:val="both"/>
        <w:textAlignment w:val="auto"/>
        <w:outlineLvl w:val="9"/>
        <w:rPr>
          <w:rFonts w:hint="eastAsia" w:ascii="仿宋" w:hAnsi="仿宋" w:eastAsia="仿宋" w:cs="仿宋"/>
          <w:color w:val="000000"/>
          <w:kern w:val="0"/>
          <w:sz w:val="32"/>
          <w:szCs w:val="32"/>
          <w:lang w:val="en-US" w:eastAsia="zh-CN" w:bidi="ar-SA"/>
        </w:rPr>
      </w:pPr>
      <w:r>
        <w:rPr>
          <w:rFonts w:hint="eastAsia" w:ascii="仿宋" w:hAnsi="仿宋" w:eastAsia="仿宋" w:cs="仿宋"/>
          <w:color w:val="auto"/>
          <w:kern w:val="0"/>
          <w:sz w:val="32"/>
          <w:szCs w:val="32"/>
          <w:lang w:val="en-US" w:eastAsia="zh-CN" w:bidi="ar-SA"/>
        </w:rPr>
        <w:t>一是持续增加</w:t>
      </w:r>
      <w:r>
        <w:rPr>
          <w:rFonts w:hint="eastAsia" w:ascii="仿宋" w:hAnsi="仿宋" w:eastAsia="仿宋" w:cs="仿宋"/>
          <w:color w:val="000000"/>
          <w:kern w:val="0"/>
          <w:sz w:val="32"/>
          <w:szCs w:val="32"/>
          <w:lang w:val="en-US" w:eastAsia="zh-CN" w:bidi="ar-SA"/>
        </w:rPr>
        <w:t>财政衔接推进乡村振兴补助资金</w:t>
      </w:r>
      <w:r>
        <w:rPr>
          <w:rFonts w:hint="eastAsia" w:ascii="仿宋" w:hAnsi="仿宋" w:eastAsia="仿宋" w:cs="仿宋"/>
          <w:color w:val="auto"/>
          <w:kern w:val="0"/>
          <w:sz w:val="32"/>
          <w:szCs w:val="32"/>
          <w:lang w:val="en-US" w:eastAsia="zh-CN" w:bidi="ar-SA"/>
        </w:rPr>
        <w:t>投入。</w:t>
      </w:r>
      <w:r>
        <w:rPr>
          <w:rFonts w:hint="eastAsia" w:ascii="仿宋" w:hAnsi="仿宋" w:eastAsia="仿宋" w:cs="仿宋"/>
          <w:b w:val="0"/>
          <w:bCs w:val="0"/>
          <w:color w:val="auto"/>
          <w:sz w:val="32"/>
          <w:szCs w:val="32"/>
          <w:lang w:val="en-US" w:eastAsia="zh-CN"/>
        </w:rPr>
        <w:t>2021年上半年，</w:t>
      </w:r>
      <w:r>
        <w:rPr>
          <w:rFonts w:hint="eastAsia" w:ascii="仿宋" w:hAnsi="仿宋" w:eastAsia="仿宋" w:cs="仿宋"/>
          <w:color w:val="000000"/>
          <w:kern w:val="0"/>
          <w:sz w:val="32"/>
          <w:szCs w:val="32"/>
          <w:lang w:val="en-US" w:eastAsia="zh-CN" w:bidi="ar-SA"/>
        </w:rPr>
        <w:t>财政衔接推进乡村振兴补助资金8959万元，已完成拨付4741万元，资金拨付率52.92 %。财政衔接资金按要求全部用于农村基础设施建设、农村生产发展项目和农村人居环境改善项目，巩固脱贫攻坚成效。</w:t>
      </w:r>
      <w:r>
        <w:rPr>
          <w:rFonts w:hint="eastAsia" w:ascii="仿宋" w:hAnsi="仿宋" w:eastAsia="仿宋" w:cs="仿宋"/>
          <w:color w:val="auto"/>
          <w:kern w:val="0"/>
          <w:sz w:val="32"/>
          <w:szCs w:val="32"/>
          <w:lang w:val="en-US" w:eastAsia="zh-CN" w:bidi="ar-SA"/>
        </w:rPr>
        <w:t>二是聚焦打赢污染防治攻坚战役。进一步加大财政投入力度，截止6月份，拨付大气污染防治资金2805万元，水污染防治资金1297万元，统筹兼顾、标本兼治，促进生态环境质量持续改善</w:t>
      </w:r>
      <w:r>
        <w:rPr>
          <w:rFonts w:hint="eastAsia" w:ascii="仿宋" w:hAnsi="仿宋" w:eastAsia="仿宋" w:cs="仿宋"/>
          <w:color w:val="000000"/>
          <w:kern w:val="0"/>
          <w:sz w:val="32"/>
          <w:szCs w:val="32"/>
          <w:lang w:val="en-US" w:eastAsia="zh-CN" w:bidi="ar-SA"/>
        </w:rPr>
        <w:t>。三是截</w:t>
      </w:r>
      <w:r>
        <w:rPr>
          <w:rFonts w:hint="eastAsia" w:ascii="仿宋" w:hAnsi="仿宋" w:eastAsia="仿宋" w:cs="仿宋"/>
          <w:color w:val="auto"/>
          <w:kern w:val="0"/>
          <w:sz w:val="32"/>
          <w:szCs w:val="32"/>
          <w:lang w:val="en-US" w:eastAsia="zh-CN" w:bidi="ar-SA"/>
        </w:rPr>
        <w:t>至6月份我区政府债务余额51.48亿元。从省财政厅核定的地方政府债务56.18亿元的限额、债务风险预警指标以及我区地方经济发展预期来看，债务风险总体安全、可控。</w:t>
      </w:r>
      <w:r>
        <w:rPr>
          <w:rFonts w:hint="eastAsia" w:ascii="仿宋" w:hAnsi="仿宋" w:eastAsia="仿宋" w:cs="仿宋"/>
          <w:color w:val="000000"/>
          <w:kern w:val="0"/>
          <w:sz w:val="32"/>
          <w:szCs w:val="32"/>
          <w:lang w:val="en-US" w:eastAsia="zh-CN" w:bidi="ar-SA"/>
        </w:rPr>
        <w:t>同时，规范过桥贷、政府担保、违规举债行为，有效防范了金融风险。</w:t>
      </w:r>
    </w:p>
    <w:p>
      <w:pPr>
        <w:keepNext w:val="0"/>
        <w:keepLines w:val="0"/>
        <w:pageBreakBefore w:val="0"/>
        <w:widowControl/>
        <w:numPr>
          <w:ilvl w:val="0"/>
          <w:numId w:val="1"/>
        </w:numPr>
        <w:kinsoku/>
        <w:wordWrap/>
        <w:overflowPunct/>
        <w:topLinePunct w:val="0"/>
        <w:autoSpaceDE/>
        <w:bidi w:val="0"/>
        <w:adjustRightInd w:val="0"/>
        <w:snapToGrid w:val="0"/>
        <w:spacing w:line="640" w:lineRule="exact"/>
        <w:ind w:left="0" w:leftChars="0" w:right="0" w:rightChars="0" w:firstLine="643" w:firstLineChars="200"/>
        <w:jc w:val="both"/>
        <w:textAlignment w:val="auto"/>
        <w:outlineLvl w:val="9"/>
        <w:rPr>
          <w:rFonts w:hint="eastAsia" w:ascii="楷体" w:hAnsi="楷体" w:eastAsia="楷体" w:cs="楷体"/>
          <w:b/>
          <w:color w:val="000000"/>
          <w:kern w:val="0"/>
          <w:sz w:val="32"/>
          <w:szCs w:val="32"/>
          <w:lang w:val="en-US"/>
        </w:rPr>
      </w:pPr>
      <w:r>
        <w:rPr>
          <w:rFonts w:hint="eastAsia" w:ascii="楷体" w:hAnsi="楷体" w:eastAsia="楷体" w:cs="楷体"/>
          <w:b/>
          <w:color w:val="000000"/>
          <w:kern w:val="0"/>
          <w:sz w:val="32"/>
          <w:szCs w:val="32"/>
          <w:lang w:val="en-US" w:eastAsia="zh-CN"/>
        </w:rPr>
        <w:t>抓好财政改革</w:t>
      </w:r>
      <w:r>
        <w:rPr>
          <w:rFonts w:hint="eastAsia" w:ascii="楷体" w:hAnsi="楷体" w:eastAsia="楷体" w:cs="楷体"/>
          <w:b/>
          <w:color w:val="000000"/>
          <w:kern w:val="0"/>
          <w:sz w:val="32"/>
          <w:szCs w:val="32"/>
        </w:rPr>
        <w:t>，</w:t>
      </w:r>
      <w:r>
        <w:rPr>
          <w:rFonts w:hint="eastAsia" w:ascii="楷体" w:hAnsi="楷体" w:eastAsia="楷体" w:cs="楷体"/>
          <w:b/>
          <w:color w:val="000000"/>
          <w:kern w:val="0"/>
          <w:sz w:val="32"/>
          <w:szCs w:val="32"/>
          <w:lang w:val="en-US" w:eastAsia="zh-CN"/>
        </w:rPr>
        <w:t>绩效水平持续提升</w:t>
      </w:r>
    </w:p>
    <w:p>
      <w:pPr>
        <w:keepNext w:val="0"/>
        <w:keepLines w:val="0"/>
        <w:pageBreakBefore w:val="0"/>
        <w:kinsoku/>
        <w:wordWrap/>
        <w:overflowPunct/>
        <w:topLinePunct w:val="0"/>
        <w:autoSpaceDE/>
        <w:bidi w:val="0"/>
        <w:spacing w:line="640" w:lineRule="exact"/>
        <w:ind w:right="0" w:rightChars="0" w:firstLine="643" w:firstLineChars="200"/>
        <w:jc w:val="both"/>
        <w:textAlignment w:val="auto"/>
        <w:rPr>
          <w:rFonts w:hint="eastAsia" w:ascii="仿宋" w:hAnsi="仿宋" w:eastAsia="仿宋" w:cs="仿宋"/>
          <w:b w:val="0"/>
          <w:bCs/>
          <w:color w:val="000000"/>
          <w:kern w:val="0"/>
          <w:sz w:val="32"/>
          <w:szCs w:val="32"/>
        </w:rPr>
      </w:pPr>
      <w:r>
        <w:rPr>
          <w:rFonts w:hint="eastAsia" w:ascii="仿宋" w:hAnsi="仿宋" w:eastAsia="仿宋" w:cs="仿宋"/>
          <w:b/>
          <w:bCs w:val="0"/>
          <w:color w:val="000000"/>
          <w:kern w:val="0"/>
          <w:sz w:val="32"/>
          <w:szCs w:val="32"/>
        </w:rPr>
        <w:t>一是</w:t>
      </w:r>
      <w:r>
        <w:rPr>
          <w:rFonts w:hint="eastAsia" w:ascii="仿宋" w:hAnsi="仿宋" w:eastAsia="仿宋" w:cs="仿宋"/>
          <w:b w:val="0"/>
          <w:bCs/>
          <w:color w:val="000000"/>
          <w:kern w:val="0"/>
          <w:sz w:val="32"/>
          <w:szCs w:val="32"/>
        </w:rPr>
        <w:t>继续巩固部门预算和国库集中支付制度改革成果</w:t>
      </w:r>
      <w:r>
        <w:rPr>
          <w:rFonts w:hint="eastAsia" w:ascii="仿宋" w:hAnsi="仿宋" w:eastAsia="仿宋" w:cs="仿宋"/>
          <w:b w:val="0"/>
          <w:bCs/>
          <w:color w:val="000000"/>
          <w:kern w:val="0"/>
          <w:sz w:val="32"/>
          <w:szCs w:val="32"/>
          <w:lang w:eastAsia="zh-CN"/>
        </w:rPr>
        <w:t>，</w:t>
      </w:r>
      <w:r>
        <w:rPr>
          <w:rFonts w:hint="eastAsia" w:ascii="仿宋" w:hAnsi="仿宋" w:eastAsia="仿宋" w:cs="仿宋"/>
          <w:b w:val="0"/>
          <w:bCs/>
          <w:color w:val="000000"/>
          <w:kern w:val="0"/>
          <w:sz w:val="32"/>
          <w:szCs w:val="32"/>
          <w:lang w:val="en-US" w:eastAsia="zh-CN"/>
        </w:rPr>
        <w:t>突出财政监管</w:t>
      </w:r>
      <w:r>
        <w:rPr>
          <w:rFonts w:hint="eastAsia" w:ascii="仿宋" w:hAnsi="仿宋" w:eastAsia="仿宋" w:cs="仿宋"/>
          <w:b w:val="0"/>
          <w:bCs/>
          <w:color w:val="000000"/>
          <w:kern w:val="0"/>
          <w:sz w:val="32"/>
          <w:szCs w:val="32"/>
        </w:rPr>
        <w:t>，</w:t>
      </w:r>
      <w:r>
        <w:rPr>
          <w:rFonts w:hint="eastAsia" w:ascii="仿宋" w:hAnsi="仿宋" w:eastAsia="仿宋" w:cs="仿宋"/>
          <w:b w:val="0"/>
          <w:bCs/>
          <w:color w:val="000000"/>
          <w:kern w:val="0"/>
          <w:sz w:val="32"/>
          <w:szCs w:val="32"/>
          <w:lang w:val="en-US" w:eastAsia="zh-CN"/>
        </w:rPr>
        <w:t>做到了</w:t>
      </w:r>
      <w:r>
        <w:rPr>
          <w:rFonts w:hint="eastAsia" w:ascii="仿宋" w:hAnsi="仿宋" w:eastAsia="仿宋" w:cs="仿宋"/>
          <w:b w:val="0"/>
          <w:bCs/>
          <w:color w:val="000000"/>
          <w:kern w:val="0"/>
          <w:sz w:val="32"/>
          <w:szCs w:val="32"/>
        </w:rPr>
        <w:t>财政性资金“收入在国库，支付进中心，核算在单位，全程有监督”</w:t>
      </w:r>
      <w:r>
        <w:rPr>
          <w:rFonts w:hint="eastAsia" w:ascii="仿宋" w:hAnsi="仿宋" w:eastAsia="仿宋" w:cs="仿宋"/>
          <w:b w:val="0"/>
          <w:bCs/>
          <w:color w:val="000000"/>
          <w:kern w:val="0"/>
          <w:sz w:val="32"/>
          <w:szCs w:val="32"/>
          <w:lang w:eastAsia="zh-CN"/>
        </w:rPr>
        <w:t>。</w:t>
      </w:r>
      <w:r>
        <w:rPr>
          <w:rFonts w:hint="eastAsia" w:ascii="仿宋" w:hAnsi="仿宋" w:eastAsia="仿宋" w:cs="仿宋"/>
          <w:b/>
          <w:bCs w:val="0"/>
          <w:color w:val="000000"/>
          <w:kern w:val="0"/>
          <w:sz w:val="32"/>
          <w:szCs w:val="32"/>
        </w:rPr>
        <w:t>二</w:t>
      </w:r>
      <w:r>
        <w:rPr>
          <w:rFonts w:hint="eastAsia" w:ascii="仿宋" w:hAnsi="仿宋" w:eastAsia="仿宋" w:cs="仿宋"/>
          <w:b/>
          <w:bCs w:val="0"/>
          <w:color w:val="000000"/>
          <w:kern w:val="0"/>
          <w:sz w:val="32"/>
          <w:szCs w:val="32"/>
          <w:lang w:val="en-US" w:eastAsia="zh-CN"/>
        </w:rPr>
        <w:t>是</w:t>
      </w:r>
      <w:r>
        <w:rPr>
          <w:rFonts w:hint="eastAsia" w:ascii="仿宋" w:hAnsi="仿宋" w:eastAsia="仿宋" w:cs="仿宋"/>
          <w:b w:val="0"/>
          <w:bCs/>
          <w:color w:val="000000"/>
          <w:kern w:val="0"/>
          <w:sz w:val="32"/>
          <w:szCs w:val="32"/>
        </w:rPr>
        <w:t>公务卡</w:t>
      </w:r>
      <w:r>
        <w:rPr>
          <w:rFonts w:hint="eastAsia" w:ascii="仿宋" w:hAnsi="仿宋" w:eastAsia="仿宋" w:cs="仿宋"/>
          <w:b w:val="0"/>
          <w:bCs/>
          <w:color w:val="000000"/>
          <w:kern w:val="0"/>
          <w:sz w:val="32"/>
          <w:szCs w:val="32"/>
          <w:lang w:val="en-US" w:eastAsia="zh-CN"/>
        </w:rPr>
        <w:t>制度改革进一步深化</w:t>
      </w:r>
      <w:r>
        <w:rPr>
          <w:rFonts w:hint="eastAsia" w:ascii="仿宋" w:hAnsi="仿宋" w:eastAsia="仿宋" w:cs="仿宋"/>
          <w:b w:val="0"/>
          <w:bCs/>
          <w:color w:val="000000"/>
          <w:kern w:val="0"/>
          <w:sz w:val="32"/>
          <w:szCs w:val="32"/>
        </w:rPr>
        <w:t>，“三公经费”</w:t>
      </w:r>
      <w:r>
        <w:rPr>
          <w:rFonts w:hint="eastAsia" w:ascii="仿宋" w:hAnsi="仿宋" w:eastAsia="仿宋" w:cs="仿宋"/>
          <w:b w:val="0"/>
          <w:bCs/>
          <w:color w:val="000000"/>
          <w:kern w:val="0"/>
          <w:sz w:val="32"/>
          <w:szCs w:val="32"/>
          <w:lang w:val="en-US" w:eastAsia="zh-CN"/>
        </w:rPr>
        <w:t>得到进一步控制。因今年为中国共产党成立100周年，全区举行培训、比赛等活动增加，上半年全区三公经费总额257.24万元，较上年同期增加95.63%。</w:t>
      </w:r>
      <w:r>
        <w:rPr>
          <w:rFonts w:hint="eastAsia" w:ascii="仿宋" w:hAnsi="仿宋" w:eastAsia="仿宋" w:cs="仿宋"/>
          <w:b/>
          <w:bCs w:val="0"/>
          <w:color w:val="000000"/>
          <w:kern w:val="0"/>
          <w:sz w:val="32"/>
          <w:szCs w:val="32"/>
        </w:rPr>
        <w:t>三是</w:t>
      </w:r>
      <w:r>
        <w:rPr>
          <w:rFonts w:hint="eastAsia" w:ascii="仿宋" w:hAnsi="仿宋" w:eastAsia="仿宋" w:cs="仿宋"/>
          <w:b w:val="0"/>
          <w:bCs/>
          <w:color w:val="000000"/>
          <w:kern w:val="0"/>
          <w:sz w:val="32"/>
          <w:szCs w:val="32"/>
          <w:lang w:val="en-US" w:eastAsia="zh-CN"/>
        </w:rPr>
        <w:t>政府性投资预算</w:t>
      </w:r>
      <w:r>
        <w:rPr>
          <w:rFonts w:hint="eastAsia" w:ascii="仿宋" w:hAnsi="仿宋" w:eastAsia="仿宋" w:cs="仿宋"/>
          <w:b w:val="0"/>
          <w:bCs/>
          <w:color w:val="000000"/>
          <w:kern w:val="0"/>
          <w:sz w:val="32"/>
          <w:szCs w:val="32"/>
        </w:rPr>
        <w:t>评审</w:t>
      </w:r>
      <w:r>
        <w:rPr>
          <w:rFonts w:hint="eastAsia" w:ascii="仿宋" w:hAnsi="仿宋" w:eastAsia="仿宋" w:cs="仿宋"/>
          <w:b w:val="0"/>
          <w:bCs/>
          <w:color w:val="000000"/>
          <w:kern w:val="0"/>
          <w:sz w:val="32"/>
          <w:szCs w:val="32"/>
          <w:lang w:val="en-US" w:eastAsia="zh-CN"/>
        </w:rPr>
        <w:t>职能进一步强化，</w:t>
      </w:r>
      <w:r>
        <w:rPr>
          <w:rFonts w:hint="eastAsia" w:ascii="仿宋" w:hAnsi="仿宋" w:eastAsia="仿宋" w:cs="仿宋"/>
          <w:color w:val="000000"/>
          <w:sz w:val="32"/>
          <w:szCs w:val="32"/>
          <w:lang w:val="en-US" w:eastAsia="zh-CN"/>
        </w:rPr>
        <w:t>上半年共评审项目158个；送审投资额9.97亿元；审定投资额7.6亿元；审减投资额2.37亿元；综合审减率23.83%。</w:t>
      </w:r>
      <w:r>
        <w:rPr>
          <w:rFonts w:hint="eastAsia" w:ascii="仿宋" w:hAnsi="仿宋" w:eastAsia="仿宋" w:cs="仿宋"/>
          <w:b/>
          <w:bCs w:val="0"/>
          <w:color w:val="000000"/>
          <w:kern w:val="0"/>
          <w:sz w:val="32"/>
          <w:szCs w:val="32"/>
        </w:rPr>
        <w:t>四是</w:t>
      </w:r>
      <w:r>
        <w:rPr>
          <w:rFonts w:hint="eastAsia" w:ascii="仿宋" w:hAnsi="仿宋" w:eastAsia="仿宋" w:cs="仿宋"/>
          <w:b w:val="0"/>
          <w:bCs/>
          <w:color w:val="000000"/>
          <w:kern w:val="0"/>
          <w:sz w:val="32"/>
          <w:szCs w:val="32"/>
        </w:rPr>
        <w:t>政府采购规模和覆盖面进一步扩大</w:t>
      </w:r>
      <w:r>
        <w:rPr>
          <w:rFonts w:hint="eastAsia" w:ascii="仿宋" w:hAnsi="仿宋" w:eastAsia="仿宋" w:cs="仿宋"/>
          <w:b w:val="0"/>
          <w:bCs/>
          <w:color w:val="000000"/>
          <w:kern w:val="0"/>
          <w:sz w:val="32"/>
          <w:szCs w:val="32"/>
          <w:lang w:eastAsia="zh-CN"/>
        </w:rPr>
        <w:t>，</w:t>
      </w:r>
      <w:r>
        <w:rPr>
          <w:rFonts w:hint="eastAsia" w:ascii="仿宋" w:hAnsi="仿宋" w:eastAsia="仿宋" w:cs="仿宋"/>
          <w:b w:val="0"/>
          <w:bCs/>
          <w:color w:val="000000"/>
          <w:kern w:val="0"/>
          <w:sz w:val="32"/>
          <w:szCs w:val="32"/>
          <w:lang w:val="en-US" w:eastAsia="zh-CN"/>
        </w:rPr>
        <w:t>上半年累计完成政府采购预算统计9691.2万元，实际采购金额9627.1万元,节约预算资金64.1万元,节约率0.7%。</w:t>
      </w:r>
      <w:r>
        <w:rPr>
          <w:rFonts w:hint="eastAsia" w:ascii="仿宋" w:hAnsi="仿宋" w:eastAsia="仿宋" w:cs="仿宋"/>
          <w:b/>
          <w:bCs w:val="0"/>
          <w:color w:val="000000"/>
          <w:kern w:val="0"/>
          <w:sz w:val="32"/>
          <w:szCs w:val="32"/>
          <w:lang w:val="en-US" w:eastAsia="zh-CN"/>
        </w:rPr>
        <w:t>五</w:t>
      </w:r>
      <w:r>
        <w:rPr>
          <w:rFonts w:hint="eastAsia" w:ascii="仿宋" w:hAnsi="仿宋" w:eastAsia="仿宋" w:cs="仿宋"/>
          <w:b/>
          <w:bCs w:val="0"/>
          <w:color w:val="000000"/>
          <w:kern w:val="0"/>
          <w:sz w:val="32"/>
          <w:szCs w:val="32"/>
        </w:rPr>
        <w:t>是</w:t>
      </w:r>
      <w:r>
        <w:rPr>
          <w:rFonts w:hint="eastAsia" w:ascii="仿宋" w:hAnsi="仿宋" w:eastAsia="仿宋" w:cs="仿宋"/>
          <w:b w:val="0"/>
          <w:bCs/>
          <w:color w:val="000000"/>
          <w:kern w:val="0"/>
          <w:sz w:val="32"/>
          <w:szCs w:val="32"/>
        </w:rPr>
        <w:t>完善行政事业单位国有资产管理</w:t>
      </w:r>
      <w:r>
        <w:rPr>
          <w:rFonts w:hint="eastAsia" w:ascii="仿宋" w:hAnsi="仿宋" w:eastAsia="仿宋" w:cs="仿宋"/>
          <w:b w:val="0"/>
          <w:bCs/>
          <w:color w:val="000000"/>
          <w:kern w:val="0"/>
          <w:sz w:val="32"/>
          <w:szCs w:val="32"/>
          <w:lang w:eastAsia="zh-CN"/>
        </w:rPr>
        <w:t>，</w:t>
      </w:r>
      <w:r>
        <w:rPr>
          <w:rFonts w:hint="eastAsia" w:ascii="仿宋" w:hAnsi="仿宋" w:eastAsia="仿宋" w:cs="仿宋"/>
          <w:b w:val="0"/>
          <w:bCs/>
          <w:color w:val="000000"/>
          <w:kern w:val="0"/>
          <w:sz w:val="32"/>
          <w:szCs w:val="32"/>
          <w:lang w:val="en-US" w:eastAsia="zh-CN"/>
        </w:rPr>
        <w:t>有效预防和控制了国有资产流失</w:t>
      </w:r>
      <w:r>
        <w:rPr>
          <w:rFonts w:hint="eastAsia" w:ascii="仿宋" w:hAnsi="仿宋" w:eastAsia="仿宋" w:cs="仿宋"/>
          <w:b w:val="0"/>
          <w:bCs/>
          <w:color w:val="000000"/>
          <w:kern w:val="0"/>
          <w:sz w:val="32"/>
          <w:szCs w:val="32"/>
          <w:lang w:eastAsia="zh-CN"/>
        </w:rPr>
        <w:t>。</w:t>
      </w:r>
      <w:r>
        <w:rPr>
          <w:rFonts w:hint="eastAsia" w:ascii="仿宋" w:hAnsi="仿宋" w:eastAsia="仿宋" w:cs="仿宋"/>
          <w:b/>
          <w:bCs w:val="0"/>
          <w:color w:val="000000"/>
          <w:kern w:val="0"/>
          <w:sz w:val="32"/>
          <w:szCs w:val="32"/>
          <w:lang w:val="en-US" w:eastAsia="zh-CN"/>
        </w:rPr>
        <w:t>六</w:t>
      </w:r>
      <w:r>
        <w:rPr>
          <w:rFonts w:hint="eastAsia" w:ascii="仿宋" w:hAnsi="仿宋" w:eastAsia="仿宋" w:cs="仿宋"/>
          <w:b/>
          <w:bCs w:val="0"/>
          <w:color w:val="000000"/>
          <w:kern w:val="0"/>
          <w:sz w:val="32"/>
          <w:szCs w:val="32"/>
        </w:rPr>
        <w:t>是</w:t>
      </w:r>
      <w:r>
        <w:rPr>
          <w:rFonts w:hint="eastAsia" w:ascii="仿宋" w:hAnsi="仿宋" w:eastAsia="仿宋" w:cs="仿宋"/>
          <w:b w:val="0"/>
          <w:bCs/>
          <w:color w:val="000000"/>
          <w:kern w:val="0"/>
          <w:sz w:val="32"/>
          <w:szCs w:val="32"/>
          <w:lang w:val="en-US" w:eastAsia="zh-CN"/>
        </w:rPr>
        <w:t>进一步建立健全了</w:t>
      </w:r>
      <w:r>
        <w:rPr>
          <w:rFonts w:hint="eastAsia" w:ascii="仿宋" w:hAnsi="仿宋" w:eastAsia="仿宋" w:cs="仿宋"/>
          <w:b w:val="0"/>
          <w:bCs/>
          <w:color w:val="000000"/>
          <w:kern w:val="0"/>
          <w:sz w:val="32"/>
          <w:szCs w:val="32"/>
          <w:lang w:eastAsia="zh-CN"/>
        </w:rPr>
        <w:t>区</w:t>
      </w:r>
      <w:r>
        <w:rPr>
          <w:rFonts w:hint="eastAsia" w:ascii="仿宋" w:hAnsi="仿宋" w:eastAsia="仿宋" w:cs="仿宋"/>
          <w:b w:val="0"/>
          <w:bCs/>
          <w:color w:val="000000"/>
          <w:kern w:val="0"/>
          <w:sz w:val="32"/>
          <w:szCs w:val="32"/>
        </w:rPr>
        <w:t>乡财政日常监督机制</w:t>
      </w:r>
      <w:r>
        <w:rPr>
          <w:rFonts w:hint="eastAsia" w:ascii="仿宋" w:hAnsi="仿宋" w:eastAsia="仿宋" w:cs="仿宋"/>
          <w:b w:val="0"/>
          <w:bCs/>
          <w:color w:val="000000"/>
          <w:kern w:val="0"/>
          <w:sz w:val="32"/>
          <w:szCs w:val="32"/>
          <w:lang w:eastAsia="zh-CN"/>
        </w:rPr>
        <w:t>，</w:t>
      </w:r>
      <w:r>
        <w:rPr>
          <w:rFonts w:hint="eastAsia" w:ascii="仿宋" w:hAnsi="仿宋" w:eastAsia="仿宋" w:cs="仿宋"/>
          <w:b w:val="0"/>
          <w:bCs/>
          <w:color w:val="000000"/>
          <w:kern w:val="0"/>
          <w:sz w:val="32"/>
          <w:szCs w:val="32"/>
        </w:rPr>
        <w:t>细化</w:t>
      </w:r>
      <w:r>
        <w:rPr>
          <w:rFonts w:hint="eastAsia" w:ascii="仿宋" w:hAnsi="仿宋" w:eastAsia="仿宋" w:cs="仿宋"/>
          <w:b w:val="0"/>
          <w:bCs/>
          <w:color w:val="000000"/>
          <w:kern w:val="0"/>
          <w:sz w:val="32"/>
          <w:szCs w:val="32"/>
          <w:lang w:val="en-US" w:eastAsia="zh-CN"/>
        </w:rPr>
        <w:t>了</w:t>
      </w:r>
      <w:r>
        <w:rPr>
          <w:rFonts w:hint="eastAsia" w:ascii="仿宋" w:hAnsi="仿宋" w:eastAsia="仿宋" w:cs="仿宋"/>
          <w:b w:val="0"/>
          <w:bCs/>
          <w:color w:val="000000"/>
          <w:kern w:val="0"/>
          <w:sz w:val="32"/>
          <w:szCs w:val="32"/>
        </w:rPr>
        <w:t>财政监督检查事项，明确</w:t>
      </w:r>
      <w:r>
        <w:rPr>
          <w:rFonts w:hint="eastAsia" w:ascii="仿宋" w:hAnsi="仿宋" w:eastAsia="仿宋" w:cs="仿宋"/>
          <w:b w:val="0"/>
          <w:bCs/>
          <w:color w:val="000000"/>
          <w:kern w:val="0"/>
          <w:sz w:val="32"/>
          <w:szCs w:val="32"/>
          <w:lang w:val="en-US" w:eastAsia="zh-CN"/>
        </w:rPr>
        <w:t>了</w:t>
      </w:r>
      <w:r>
        <w:rPr>
          <w:rFonts w:hint="eastAsia" w:ascii="仿宋" w:hAnsi="仿宋" w:eastAsia="仿宋" w:cs="仿宋"/>
          <w:b w:val="0"/>
          <w:bCs/>
          <w:color w:val="000000"/>
          <w:kern w:val="0"/>
          <w:sz w:val="32"/>
          <w:szCs w:val="32"/>
        </w:rPr>
        <w:t>财政监督方式方法，实现</w:t>
      </w:r>
      <w:r>
        <w:rPr>
          <w:rFonts w:hint="eastAsia" w:ascii="仿宋" w:hAnsi="仿宋" w:eastAsia="仿宋" w:cs="仿宋"/>
          <w:b w:val="0"/>
          <w:bCs/>
          <w:color w:val="000000"/>
          <w:kern w:val="0"/>
          <w:sz w:val="32"/>
          <w:szCs w:val="32"/>
          <w:lang w:val="en-US" w:eastAsia="zh-CN"/>
        </w:rPr>
        <w:t>了</w:t>
      </w:r>
      <w:r>
        <w:rPr>
          <w:rFonts w:hint="eastAsia" w:ascii="仿宋" w:hAnsi="仿宋" w:eastAsia="仿宋" w:cs="仿宋"/>
          <w:b w:val="0"/>
          <w:bCs/>
          <w:color w:val="000000"/>
          <w:kern w:val="0"/>
          <w:sz w:val="32"/>
          <w:szCs w:val="32"/>
        </w:rPr>
        <w:t>财政内部监督关口前移，提升</w:t>
      </w:r>
      <w:r>
        <w:rPr>
          <w:rFonts w:hint="eastAsia" w:ascii="仿宋" w:hAnsi="仿宋" w:eastAsia="仿宋" w:cs="仿宋"/>
          <w:b w:val="0"/>
          <w:bCs/>
          <w:color w:val="000000"/>
          <w:kern w:val="0"/>
          <w:sz w:val="32"/>
          <w:szCs w:val="32"/>
          <w:lang w:val="en-US" w:eastAsia="zh-CN"/>
        </w:rPr>
        <w:t>了</w:t>
      </w:r>
      <w:r>
        <w:rPr>
          <w:rFonts w:hint="eastAsia" w:ascii="仿宋" w:hAnsi="仿宋" w:eastAsia="仿宋" w:cs="仿宋"/>
          <w:b w:val="0"/>
          <w:bCs/>
          <w:color w:val="000000"/>
          <w:kern w:val="0"/>
          <w:sz w:val="32"/>
          <w:szCs w:val="32"/>
        </w:rPr>
        <w:t xml:space="preserve">财政监督检查水平。 </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spacing w:before="0" w:beforeAutospacing="0" w:after="0" w:afterAutospacing="0" w:line="640" w:lineRule="exact"/>
        <w:ind w:leftChars="200" w:right="0" w:rightChars="0"/>
        <w:jc w:val="both"/>
        <w:textAlignment w:val="auto"/>
        <w:outlineLvl w:val="9"/>
        <w:rPr>
          <w:rFonts w:hint="eastAsia" w:ascii="仿宋" w:hAnsi="仿宋" w:eastAsia="仿宋" w:cs="仿宋"/>
          <w:b w:val="0"/>
          <w:bCs/>
          <w:color w:val="auto"/>
          <w:kern w:val="0"/>
          <w:sz w:val="32"/>
          <w:szCs w:val="32"/>
          <w:lang w:val="en-US" w:eastAsia="zh-CN"/>
        </w:rPr>
      </w:pPr>
      <w:r>
        <w:rPr>
          <w:rFonts w:hint="eastAsia" w:ascii="楷体" w:hAnsi="楷体" w:eastAsia="楷体" w:cs="楷体"/>
          <w:b/>
          <w:bCs/>
          <w:color w:val="auto"/>
          <w:kern w:val="0"/>
          <w:sz w:val="32"/>
          <w:szCs w:val="32"/>
          <w:lang w:val="en-US" w:eastAsia="zh-CN" w:bidi="ar-SA"/>
        </w:rPr>
        <w:t>（六）抓好思想建设，理财水平持续提升</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spacing w:before="0" w:beforeAutospacing="0" w:after="0" w:afterAutospacing="0" w:line="640" w:lineRule="exact"/>
        <w:ind w:right="0" w:rightChars="0" w:firstLine="640" w:firstLineChars="200"/>
        <w:jc w:val="both"/>
        <w:textAlignment w:val="auto"/>
        <w:outlineLvl w:val="9"/>
        <w:rPr>
          <w:rFonts w:hint="eastAsia" w:ascii="仿宋" w:hAnsi="仿宋" w:eastAsia="仿宋" w:cs="仿宋"/>
          <w:b w:val="0"/>
          <w:bCs/>
          <w:color w:val="000000"/>
          <w:kern w:val="0"/>
          <w:sz w:val="32"/>
          <w:szCs w:val="32"/>
          <w:lang w:val="en-US" w:eastAsia="zh-CN"/>
        </w:rPr>
      </w:pPr>
      <w:r>
        <w:rPr>
          <w:rFonts w:hint="eastAsia" w:ascii="仿宋" w:hAnsi="仿宋" w:eastAsia="仿宋" w:cs="仿宋"/>
          <w:b w:val="0"/>
          <w:bCs/>
          <w:color w:val="auto"/>
          <w:kern w:val="0"/>
          <w:sz w:val="32"/>
          <w:szCs w:val="32"/>
          <w:lang w:val="en-US" w:eastAsia="zh-CN"/>
        </w:rPr>
        <w:t>一是加强党的思想政治建设。始终坚持以习近平新时代中国特色社会主义思想为指导，全面贯彻党的十九大和十九届三中、四中、五中全会精神，不忘初心、牢记使命，充分认识到推进财政全面从严治党和党风廉政建设是对新时代财政工作的约束和支撑，进一步增强了抓好财政党建工作的思想自觉、政治自觉和行动自觉。二是组织开展干部作风大整顿。</w:t>
      </w:r>
      <w:r>
        <w:rPr>
          <w:rFonts w:hint="eastAsia" w:ascii="仿宋" w:hAnsi="仿宋" w:eastAsia="仿宋" w:cs="仿宋"/>
          <w:b w:val="0"/>
          <w:bCs/>
          <w:sz w:val="32"/>
          <w:szCs w:val="32"/>
          <w:lang w:val="en-US" w:eastAsia="zh-CN"/>
        </w:rPr>
        <w:t>加强党风廉政建设和反腐败工作，夯实党的作风基础</w:t>
      </w:r>
      <w:r>
        <w:rPr>
          <w:rFonts w:hint="eastAsia" w:ascii="仿宋" w:hAnsi="仿宋" w:eastAsia="仿宋" w:cs="仿宋"/>
          <w:b w:val="0"/>
          <w:bCs/>
          <w:color w:val="auto"/>
          <w:kern w:val="0"/>
          <w:sz w:val="32"/>
          <w:szCs w:val="32"/>
          <w:lang w:val="en-US" w:eastAsia="zh-CN"/>
        </w:rPr>
        <w:t>。三是全面压实党组抓意识形态的主体责任。坚持守土有责、守土负责、守土尽责，强化使命意识，真正把第一责任人的责任放在心上、扛在肩上、落实在行动上。四是加强财政队伍建设。深入推进“两学一做”常态化制度化，深化学习习近平新时代中国特色社会主义思想和党的十九大精神，进一步增强“四个意识”、坚定“四个自信”、做到“两个维护”，提升了财政干部的科学管理水平。</w:t>
      </w:r>
    </w:p>
    <w:p>
      <w:pPr>
        <w:keepNext w:val="0"/>
        <w:keepLines w:val="0"/>
        <w:pageBreakBefore w:val="0"/>
        <w:numPr>
          <w:ilvl w:val="0"/>
          <w:numId w:val="2"/>
        </w:numPr>
        <w:kinsoku/>
        <w:wordWrap/>
        <w:overflowPunct/>
        <w:topLinePunct w:val="0"/>
        <w:bidi w:val="0"/>
        <w:spacing w:line="640" w:lineRule="exact"/>
        <w:ind w:right="0" w:rightChars="0" w:firstLine="643" w:firstLineChars="200"/>
        <w:textAlignment w:val="auto"/>
        <w:outlineLvl w:val="9"/>
        <w:rPr>
          <w:rFonts w:hint="eastAsia" w:ascii="黑体" w:hAnsi="黑体" w:eastAsia="黑体"/>
          <w:b/>
          <w:color w:val="000000"/>
          <w:sz w:val="32"/>
          <w:szCs w:val="32"/>
        </w:rPr>
      </w:pPr>
      <w:r>
        <w:rPr>
          <w:rFonts w:hint="eastAsia" w:ascii="黑体" w:hAnsi="黑体" w:eastAsia="黑体"/>
          <w:b/>
          <w:color w:val="000000"/>
          <w:sz w:val="32"/>
          <w:szCs w:val="32"/>
        </w:rPr>
        <w:t>预算执行中存在的矛盾和问题</w:t>
      </w:r>
    </w:p>
    <w:p>
      <w:pPr>
        <w:keepNext w:val="0"/>
        <w:keepLines w:val="0"/>
        <w:pageBreakBefore w:val="0"/>
        <w:numPr>
          <w:ilvl w:val="0"/>
          <w:numId w:val="0"/>
        </w:numPr>
        <w:kinsoku/>
        <w:wordWrap/>
        <w:overflowPunct/>
        <w:topLinePunct w:val="0"/>
        <w:bidi w:val="0"/>
        <w:spacing w:line="640" w:lineRule="exact"/>
        <w:ind w:right="0" w:rightChars="0" w:firstLine="640" w:firstLineChars="200"/>
        <w:textAlignment w:val="auto"/>
        <w:outlineLvl w:val="9"/>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认真研判上半年预算执行情况，公共预算收入增长基本符合预期，超序时进度完成收入任务，经济发展在合理区间运行。同时，预算执行中也出现一些矛盾和问题，表现为：</w:t>
      </w:r>
    </w:p>
    <w:p>
      <w:pPr>
        <w:keepNext w:val="0"/>
        <w:keepLines w:val="0"/>
        <w:pageBreakBefore w:val="0"/>
        <w:kinsoku/>
        <w:wordWrap/>
        <w:overflowPunct/>
        <w:topLinePunct w:val="0"/>
        <w:bidi w:val="0"/>
        <w:spacing w:line="640" w:lineRule="exact"/>
        <w:ind w:right="0" w:rightChars="0" w:firstLine="640"/>
        <w:textAlignment w:val="auto"/>
        <w:outlineLvl w:val="9"/>
        <w:rPr>
          <w:rFonts w:hint="default" w:ascii="楷体" w:hAnsi="楷体" w:eastAsia="楷体" w:cs="楷体"/>
          <w:b/>
          <w:bCs w:val="0"/>
          <w:color w:val="000000"/>
          <w:sz w:val="32"/>
          <w:szCs w:val="32"/>
          <w:lang w:val="en-US" w:eastAsia="zh-CN"/>
        </w:rPr>
      </w:pPr>
      <w:r>
        <w:rPr>
          <w:rFonts w:hint="eastAsia" w:ascii="楷体" w:hAnsi="楷体" w:eastAsia="楷体" w:cs="楷体"/>
          <w:b/>
          <w:bCs w:val="0"/>
          <w:color w:val="000000"/>
          <w:sz w:val="32"/>
          <w:szCs w:val="32"/>
        </w:rPr>
        <w:t>（一）</w:t>
      </w:r>
      <w:r>
        <w:rPr>
          <w:rFonts w:hint="eastAsia" w:ascii="楷体" w:hAnsi="楷体" w:eastAsia="楷体" w:cs="楷体"/>
          <w:b/>
          <w:bCs w:val="0"/>
          <w:color w:val="000000"/>
          <w:sz w:val="32"/>
          <w:szCs w:val="32"/>
          <w:lang w:val="en-US" w:eastAsia="zh-CN"/>
        </w:rPr>
        <w:t>收入增长的制约因素增多</w:t>
      </w:r>
    </w:p>
    <w:p>
      <w:pPr>
        <w:pStyle w:val="2"/>
        <w:keepNext w:val="0"/>
        <w:keepLines w:val="0"/>
        <w:pageBreakBefore w:val="0"/>
        <w:widowControl w:val="0"/>
        <w:kinsoku/>
        <w:wordWrap/>
        <w:overflowPunct/>
        <w:topLinePunct w:val="0"/>
        <w:autoSpaceDE/>
        <w:autoSpaceDN/>
        <w:bidi w:val="0"/>
        <w:adjustRightInd/>
        <w:snapToGrid/>
        <w:spacing w:after="0" w:line="640" w:lineRule="exact"/>
        <w:ind w:leftChars="0" w:firstLine="640" w:firstLineChars="200"/>
        <w:textAlignment w:val="auto"/>
        <w:outlineLvl w:val="9"/>
        <w:rPr>
          <w:rFonts w:hint="eastAsia" w:ascii="仿宋" w:hAnsi="仿宋" w:eastAsia="仿宋" w:cs="宋体"/>
          <w:color w:val="000000"/>
          <w:kern w:val="0"/>
          <w:sz w:val="32"/>
          <w:szCs w:val="32"/>
          <w:lang w:val="en-US" w:eastAsia="zh-CN"/>
        </w:rPr>
      </w:pPr>
      <w:r>
        <w:rPr>
          <w:rFonts w:hint="eastAsia" w:ascii="仿宋" w:hAnsi="仿宋" w:eastAsia="仿宋" w:cs="宋体"/>
          <w:color w:val="000000"/>
          <w:kern w:val="0"/>
          <w:sz w:val="32"/>
          <w:szCs w:val="32"/>
          <w:lang w:val="en-US" w:eastAsia="zh-CN"/>
        </w:rPr>
        <w:t>一是中央大规模减税降费政策的实施，对财政收入的影响愈发凸显，完成年度收入预算的难度增加。二是“放管服”政策的实施，导致行政性事业性收费项目持续减少，也给财政收入增长带来一定的影响。三是</w:t>
      </w:r>
      <w:r>
        <w:rPr>
          <w:rFonts w:hint="eastAsia" w:ascii="仿宋" w:hAnsi="仿宋" w:eastAsia="仿宋" w:cs="仿宋"/>
          <w:color w:val="auto"/>
          <w:kern w:val="0"/>
          <w:sz w:val="32"/>
          <w:szCs w:val="32"/>
          <w:lang w:val="en-US" w:eastAsia="zh-CN" w:bidi="ar-SA"/>
        </w:rPr>
        <w:t>受新冠肺炎疫情影响，我区经济复苏缓慢；加之经济下行压力大，国家出台的更大规模减税降费政策和应对疫情影响企业出台新的减税降费政策的影响，我区财政资金调度困难，收支难以平衡。</w:t>
      </w:r>
    </w:p>
    <w:p>
      <w:pPr>
        <w:keepNext w:val="0"/>
        <w:keepLines w:val="0"/>
        <w:pageBreakBefore w:val="0"/>
        <w:widowControl/>
        <w:numPr>
          <w:ilvl w:val="0"/>
          <w:numId w:val="3"/>
        </w:numPr>
        <w:kinsoku/>
        <w:wordWrap/>
        <w:overflowPunct/>
        <w:topLinePunct w:val="0"/>
        <w:bidi w:val="0"/>
        <w:adjustRightInd w:val="0"/>
        <w:snapToGrid w:val="0"/>
        <w:spacing w:line="640" w:lineRule="exact"/>
        <w:ind w:right="0" w:rightChars="0" w:firstLine="643" w:firstLineChars="200"/>
        <w:jc w:val="left"/>
        <w:textAlignment w:val="auto"/>
        <w:outlineLvl w:val="9"/>
        <w:rPr>
          <w:rFonts w:hint="eastAsia" w:ascii="楷体" w:hAnsi="楷体" w:eastAsia="楷体" w:cs="楷体"/>
          <w:b/>
          <w:bCs/>
          <w:color w:val="000000"/>
          <w:kern w:val="0"/>
          <w:sz w:val="32"/>
          <w:szCs w:val="32"/>
          <w:lang w:val="en-US" w:eastAsia="zh-CN"/>
        </w:rPr>
      </w:pPr>
      <w:r>
        <w:rPr>
          <w:rFonts w:hint="eastAsia" w:ascii="楷体" w:hAnsi="楷体" w:eastAsia="楷体" w:cs="楷体"/>
          <w:b/>
          <w:bCs/>
          <w:color w:val="000000"/>
          <w:kern w:val="0"/>
          <w:sz w:val="32"/>
          <w:szCs w:val="32"/>
          <w:lang w:val="en-US" w:eastAsia="zh-CN"/>
        </w:rPr>
        <w:t>财政收支矛盾不断加大</w:t>
      </w:r>
    </w:p>
    <w:p>
      <w:pPr>
        <w:keepNext w:val="0"/>
        <w:keepLines w:val="0"/>
        <w:pageBreakBefore w:val="0"/>
        <w:widowControl/>
        <w:kinsoku/>
        <w:wordWrap/>
        <w:overflowPunct/>
        <w:topLinePunct w:val="0"/>
        <w:bidi w:val="0"/>
        <w:adjustRightInd w:val="0"/>
        <w:snapToGrid w:val="0"/>
        <w:spacing w:line="640" w:lineRule="exact"/>
        <w:ind w:right="0" w:rightChars="0" w:firstLine="640" w:firstLineChars="200"/>
        <w:jc w:val="left"/>
        <w:textAlignment w:val="auto"/>
        <w:outlineLvl w:val="9"/>
        <w:rPr>
          <w:rFonts w:hint="eastAsia" w:ascii="仿宋" w:hAnsi="仿宋" w:eastAsia="仿宋" w:cs="宋体"/>
          <w:color w:val="000000"/>
          <w:kern w:val="0"/>
          <w:sz w:val="32"/>
          <w:szCs w:val="32"/>
          <w:lang w:val="en-US" w:eastAsia="zh-CN"/>
        </w:rPr>
      </w:pPr>
      <w:r>
        <w:rPr>
          <w:rFonts w:hint="eastAsia" w:ascii="仿宋" w:hAnsi="仿宋" w:eastAsia="仿宋" w:cs="宋体"/>
          <w:color w:val="000000"/>
          <w:kern w:val="0"/>
          <w:sz w:val="32"/>
          <w:szCs w:val="32"/>
          <w:lang w:val="en-US" w:eastAsia="zh-CN"/>
        </w:rPr>
        <w:t>下半年，中央提出的“六稳、六保”工作任务艰巨，特别是“三保”等各项刚性支出持续增加。同时，我区高质量发展进入关键期，特别是</w:t>
      </w:r>
      <w:r>
        <w:rPr>
          <w:rFonts w:hint="eastAsia" w:ascii="仿宋" w:hAnsi="仿宋" w:eastAsia="仿宋" w:cs="仿宋"/>
          <w:color w:val="000000"/>
          <w:kern w:val="0"/>
          <w:sz w:val="32"/>
          <w:szCs w:val="32"/>
          <w:lang w:val="en-US" w:eastAsia="zh-CN" w:bidi="ar-SA"/>
        </w:rPr>
        <w:t>财政衔接推进乡村振兴</w:t>
      </w:r>
      <w:r>
        <w:rPr>
          <w:rFonts w:hint="eastAsia" w:ascii="仿宋" w:hAnsi="仿宋" w:eastAsia="仿宋" w:cs="宋体"/>
          <w:color w:val="000000"/>
          <w:kern w:val="0"/>
          <w:sz w:val="32"/>
          <w:szCs w:val="32"/>
          <w:lang w:val="en-US" w:eastAsia="zh-CN"/>
        </w:rPr>
        <w:t>需要进一步加大财政投入力度。2021年上半年，我区重点工程投入增大</w:t>
      </w:r>
      <w:r>
        <w:rPr>
          <w:rFonts w:hint="eastAsia" w:ascii="仿宋" w:hAnsi="仿宋" w:eastAsia="仿宋" w:cs="仿宋"/>
          <w:color w:val="auto"/>
          <w:kern w:val="0"/>
          <w:sz w:val="32"/>
          <w:szCs w:val="32"/>
          <w:lang w:val="en-US" w:eastAsia="zh-CN" w:bidi="ar-SA"/>
        </w:rPr>
        <w:t>，</w:t>
      </w:r>
      <w:r>
        <w:rPr>
          <w:rFonts w:hint="eastAsia" w:ascii="仿宋" w:hAnsi="仿宋" w:eastAsia="仿宋" w:cs="宋体"/>
          <w:color w:val="000000"/>
          <w:kern w:val="0"/>
          <w:sz w:val="32"/>
          <w:szCs w:val="32"/>
          <w:lang w:val="en-US" w:eastAsia="zh-CN"/>
        </w:rPr>
        <w:t>特别是四个新建棚户区建设全面推进，加之</w:t>
      </w:r>
      <w:r>
        <w:rPr>
          <w:rFonts w:hint="eastAsia" w:ascii="仿宋" w:hAnsi="仿宋" w:eastAsia="仿宋" w:cs="宋体"/>
          <w:color w:val="000000"/>
          <w:kern w:val="0"/>
          <w:sz w:val="32"/>
          <w:szCs w:val="32"/>
        </w:rPr>
        <w:t>城乡居民医疗保险、卫生、社会保障、义务教育投入力度不断增大</w:t>
      </w:r>
      <w:r>
        <w:rPr>
          <w:rFonts w:hint="eastAsia" w:ascii="仿宋" w:hAnsi="仿宋" w:eastAsia="仿宋" w:cs="宋体"/>
          <w:color w:val="000000"/>
          <w:kern w:val="0"/>
          <w:sz w:val="32"/>
          <w:szCs w:val="32"/>
          <w:lang w:eastAsia="zh-CN"/>
        </w:rPr>
        <w:t>，</w:t>
      </w:r>
      <w:r>
        <w:rPr>
          <w:rFonts w:hint="eastAsia" w:ascii="仿宋" w:hAnsi="仿宋" w:eastAsia="仿宋" w:cs="宋体"/>
          <w:color w:val="000000"/>
          <w:kern w:val="0"/>
          <w:sz w:val="32"/>
          <w:szCs w:val="32"/>
          <w:lang w:val="en-US" w:eastAsia="zh-CN"/>
        </w:rPr>
        <w:t>区级财力远远无法满足高质量发展的需求。同时，市级现金调度也存在一定的困难，财政支出压力巨大。</w:t>
      </w:r>
    </w:p>
    <w:p>
      <w:pPr>
        <w:keepNext w:val="0"/>
        <w:keepLines w:val="0"/>
        <w:pageBreakBefore w:val="0"/>
        <w:widowControl/>
        <w:numPr>
          <w:ilvl w:val="0"/>
          <w:numId w:val="0"/>
        </w:numPr>
        <w:kinsoku/>
        <w:wordWrap/>
        <w:overflowPunct/>
        <w:topLinePunct w:val="0"/>
        <w:bidi w:val="0"/>
        <w:adjustRightInd w:val="0"/>
        <w:snapToGrid w:val="0"/>
        <w:spacing w:line="640" w:lineRule="exact"/>
        <w:ind w:right="0" w:rightChars="0" w:firstLine="643" w:firstLineChars="200"/>
        <w:jc w:val="left"/>
        <w:textAlignment w:val="auto"/>
        <w:outlineLvl w:val="9"/>
        <w:rPr>
          <w:rFonts w:hint="default" w:ascii="楷体" w:hAnsi="楷体" w:eastAsia="楷体" w:cs="楷体"/>
          <w:b/>
          <w:bCs/>
          <w:color w:val="000000"/>
          <w:kern w:val="0"/>
          <w:sz w:val="32"/>
          <w:szCs w:val="32"/>
          <w:lang w:val="en-US" w:eastAsia="zh-CN"/>
        </w:rPr>
      </w:pPr>
      <w:r>
        <w:rPr>
          <w:rFonts w:hint="eastAsia" w:ascii="楷体" w:hAnsi="楷体" w:eastAsia="楷体" w:cs="楷体"/>
          <w:b/>
          <w:bCs/>
          <w:color w:val="auto"/>
          <w:kern w:val="2"/>
          <w:sz w:val="32"/>
          <w:szCs w:val="32"/>
          <w:lang w:val="en-US" w:eastAsia="zh-CN" w:bidi="ar-SA"/>
        </w:rPr>
        <w:t>（三）财政绩效管理水平有待提升</w:t>
      </w:r>
    </w:p>
    <w:p>
      <w:pPr>
        <w:keepNext w:val="0"/>
        <w:keepLines w:val="0"/>
        <w:pageBreakBefore w:val="0"/>
        <w:widowControl/>
        <w:kinsoku/>
        <w:wordWrap/>
        <w:overflowPunct/>
        <w:topLinePunct w:val="0"/>
        <w:bidi w:val="0"/>
        <w:adjustRightInd w:val="0"/>
        <w:snapToGrid w:val="0"/>
        <w:spacing w:line="640" w:lineRule="exact"/>
        <w:ind w:right="0" w:rightChars="0" w:firstLine="640" w:firstLineChars="200"/>
        <w:jc w:val="left"/>
        <w:textAlignment w:val="auto"/>
        <w:outlineLvl w:val="9"/>
        <w:rPr>
          <w:rFonts w:hint="default" w:ascii="仿宋" w:hAnsi="仿宋" w:eastAsia="仿宋" w:cs="宋体"/>
          <w:color w:val="000000"/>
          <w:kern w:val="0"/>
          <w:sz w:val="32"/>
          <w:szCs w:val="32"/>
          <w:lang w:val="en-US" w:eastAsia="zh-CN"/>
        </w:rPr>
      </w:pPr>
      <w:r>
        <w:rPr>
          <w:rFonts w:hint="eastAsia" w:ascii="仿宋" w:hAnsi="仿宋" w:eastAsia="仿宋" w:cs="宋体"/>
          <w:color w:val="000000"/>
          <w:kern w:val="0"/>
          <w:sz w:val="32"/>
          <w:szCs w:val="32"/>
        </w:rPr>
        <w:t>在财政资金使用和管理上，存在重拨款、轻</w:t>
      </w:r>
      <w:r>
        <w:rPr>
          <w:rFonts w:hint="eastAsia" w:ascii="仿宋" w:hAnsi="仿宋" w:eastAsia="仿宋" w:cs="宋体"/>
          <w:color w:val="000000"/>
          <w:kern w:val="0"/>
          <w:sz w:val="32"/>
          <w:szCs w:val="32"/>
          <w:lang w:val="en-US" w:eastAsia="zh-CN"/>
        </w:rPr>
        <w:t>绩效，以及</w:t>
      </w:r>
      <w:r>
        <w:rPr>
          <w:rFonts w:hint="eastAsia" w:ascii="仿宋" w:hAnsi="仿宋" w:eastAsia="仿宋" w:cs="宋体"/>
          <w:color w:val="000000"/>
          <w:kern w:val="0"/>
          <w:sz w:val="32"/>
          <w:szCs w:val="32"/>
        </w:rPr>
        <w:t>资金</w:t>
      </w:r>
      <w:r>
        <w:rPr>
          <w:rFonts w:hint="eastAsia" w:ascii="仿宋" w:hAnsi="仿宋" w:eastAsia="仿宋" w:cs="宋体"/>
          <w:color w:val="000000"/>
          <w:kern w:val="0"/>
          <w:sz w:val="32"/>
          <w:szCs w:val="32"/>
          <w:lang w:val="en-US" w:eastAsia="zh-CN"/>
        </w:rPr>
        <w:t>管理不规范，</w:t>
      </w:r>
      <w:r>
        <w:rPr>
          <w:rFonts w:hint="eastAsia" w:ascii="仿宋" w:hAnsi="仿宋" w:eastAsia="仿宋" w:cs="宋体"/>
          <w:color w:val="000000"/>
          <w:kern w:val="0"/>
          <w:sz w:val="32"/>
          <w:szCs w:val="32"/>
        </w:rPr>
        <w:t>资金滞留现象</w:t>
      </w:r>
      <w:r>
        <w:rPr>
          <w:rFonts w:hint="eastAsia" w:ascii="仿宋" w:hAnsi="仿宋" w:eastAsia="仿宋" w:cs="宋体"/>
          <w:color w:val="000000"/>
          <w:kern w:val="0"/>
          <w:sz w:val="32"/>
          <w:szCs w:val="32"/>
          <w:lang w:val="en-US" w:eastAsia="zh-CN"/>
        </w:rPr>
        <w:t>存在</w:t>
      </w:r>
      <w:r>
        <w:rPr>
          <w:rFonts w:hint="eastAsia" w:ascii="仿宋" w:hAnsi="仿宋" w:eastAsia="仿宋" w:cs="宋体"/>
          <w:color w:val="000000"/>
          <w:kern w:val="0"/>
          <w:sz w:val="32"/>
          <w:szCs w:val="32"/>
          <w:lang w:eastAsia="zh-CN"/>
        </w:rPr>
        <w:t>，</w:t>
      </w:r>
      <w:r>
        <w:rPr>
          <w:rFonts w:hint="eastAsia" w:ascii="仿宋" w:hAnsi="仿宋" w:eastAsia="仿宋" w:cs="宋体"/>
          <w:color w:val="000000"/>
          <w:kern w:val="0"/>
          <w:sz w:val="32"/>
          <w:szCs w:val="32"/>
        </w:rPr>
        <w:t>影响财政资金</w:t>
      </w:r>
      <w:r>
        <w:rPr>
          <w:rFonts w:hint="eastAsia" w:ascii="仿宋" w:hAnsi="仿宋" w:eastAsia="仿宋" w:cs="宋体"/>
          <w:color w:val="000000"/>
          <w:kern w:val="0"/>
          <w:sz w:val="32"/>
          <w:szCs w:val="32"/>
          <w:lang w:val="en-US" w:eastAsia="zh-CN"/>
        </w:rPr>
        <w:t>的</w:t>
      </w:r>
      <w:r>
        <w:rPr>
          <w:rFonts w:hint="eastAsia" w:ascii="仿宋" w:hAnsi="仿宋" w:eastAsia="仿宋" w:cs="宋体"/>
          <w:color w:val="000000"/>
          <w:kern w:val="0"/>
          <w:sz w:val="32"/>
          <w:szCs w:val="32"/>
        </w:rPr>
        <w:t>使用效率</w:t>
      </w:r>
      <w:r>
        <w:rPr>
          <w:rFonts w:hint="eastAsia" w:ascii="仿宋" w:hAnsi="仿宋" w:eastAsia="仿宋" w:cs="宋体"/>
          <w:color w:val="000000"/>
          <w:kern w:val="0"/>
          <w:sz w:val="32"/>
          <w:szCs w:val="32"/>
          <w:lang w:val="en-US" w:eastAsia="zh-CN"/>
        </w:rPr>
        <w:t>和管理绩效</w:t>
      </w:r>
      <w:r>
        <w:rPr>
          <w:rFonts w:hint="eastAsia" w:ascii="仿宋" w:hAnsi="仿宋" w:eastAsia="仿宋" w:cs="宋体"/>
          <w:color w:val="000000"/>
          <w:kern w:val="0"/>
          <w:sz w:val="32"/>
          <w:szCs w:val="32"/>
        </w:rPr>
        <w:t>。</w:t>
      </w:r>
      <w:r>
        <w:rPr>
          <w:rFonts w:hint="eastAsia" w:ascii="仿宋" w:hAnsi="仿宋" w:eastAsia="仿宋" w:cs="宋体"/>
          <w:color w:val="000000"/>
          <w:kern w:val="0"/>
          <w:sz w:val="32"/>
          <w:szCs w:val="32"/>
          <w:lang w:val="en-US" w:eastAsia="zh-CN"/>
        </w:rPr>
        <w:t>特别是在重点项目实施和推进过程中，部分部门一味强调资金需求，缺乏对资金的合理使用和有效管理，造成资金管理绩效低下，甚至造成部分项目资金严重紧缺，部分项目资金闲置。</w:t>
      </w:r>
    </w:p>
    <w:p>
      <w:pPr>
        <w:keepNext w:val="0"/>
        <w:keepLines w:val="0"/>
        <w:pageBreakBefore w:val="0"/>
        <w:widowControl/>
        <w:kinsoku/>
        <w:wordWrap/>
        <w:overflowPunct/>
        <w:topLinePunct w:val="0"/>
        <w:bidi w:val="0"/>
        <w:adjustRightInd w:val="0"/>
        <w:snapToGrid w:val="0"/>
        <w:spacing w:line="640" w:lineRule="exact"/>
        <w:ind w:right="0" w:rightChars="0" w:firstLine="643" w:firstLineChars="200"/>
        <w:jc w:val="left"/>
        <w:textAlignment w:val="auto"/>
        <w:outlineLvl w:val="9"/>
        <w:rPr>
          <w:rFonts w:hint="eastAsia" w:ascii="黑体" w:hAnsi="黑体" w:eastAsia="黑体" w:cs="宋体"/>
          <w:b/>
          <w:color w:val="000000"/>
          <w:kern w:val="0"/>
          <w:sz w:val="32"/>
          <w:szCs w:val="32"/>
        </w:rPr>
      </w:pPr>
      <w:r>
        <w:rPr>
          <w:rFonts w:hint="eastAsia" w:ascii="黑体" w:hAnsi="黑体" w:eastAsia="黑体" w:cs="宋体"/>
          <w:b/>
          <w:color w:val="000000"/>
          <w:kern w:val="0"/>
          <w:sz w:val="32"/>
          <w:szCs w:val="32"/>
        </w:rPr>
        <w:t>五、</w:t>
      </w:r>
      <w:r>
        <w:rPr>
          <w:rFonts w:hint="eastAsia" w:ascii="黑体" w:hAnsi="黑体" w:eastAsia="黑体" w:cs="宋体"/>
          <w:b/>
          <w:color w:val="000000"/>
          <w:kern w:val="0"/>
          <w:sz w:val="32"/>
          <w:szCs w:val="32"/>
          <w:lang w:eastAsia="zh-CN"/>
        </w:rPr>
        <w:t>20</w:t>
      </w:r>
      <w:r>
        <w:rPr>
          <w:rFonts w:hint="eastAsia" w:ascii="黑体" w:hAnsi="黑体" w:eastAsia="黑体" w:cs="宋体"/>
          <w:b/>
          <w:color w:val="000000"/>
          <w:kern w:val="0"/>
          <w:sz w:val="32"/>
          <w:szCs w:val="32"/>
          <w:lang w:val="en-US" w:eastAsia="zh-CN"/>
        </w:rPr>
        <w:t>21</w:t>
      </w:r>
      <w:r>
        <w:rPr>
          <w:rFonts w:hint="eastAsia" w:ascii="黑体" w:hAnsi="黑体" w:eastAsia="黑体" w:cs="宋体"/>
          <w:b/>
          <w:color w:val="000000"/>
          <w:kern w:val="0"/>
          <w:sz w:val="32"/>
          <w:szCs w:val="32"/>
          <w:lang w:eastAsia="zh-CN"/>
        </w:rPr>
        <w:t>年</w:t>
      </w:r>
      <w:r>
        <w:rPr>
          <w:rFonts w:hint="eastAsia" w:ascii="黑体" w:hAnsi="黑体" w:eastAsia="黑体" w:cs="宋体"/>
          <w:b/>
          <w:color w:val="000000"/>
          <w:kern w:val="0"/>
          <w:sz w:val="32"/>
          <w:szCs w:val="32"/>
        </w:rPr>
        <w:t>下半年工作思路和工作重点</w:t>
      </w:r>
    </w:p>
    <w:p>
      <w:pPr>
        <w:keepNext w:val="0"/>
        <w:keepLines w:val="0"/>
        <w:pageBreakBefore w:val="0"/>
        <w:numPr>
          <w:ilvl w:val="0"/>
          <w:numId w:val="4"/>
        </w:numPr>
        <w:kinsoku/>
        <w:wordWrap/>
        <w:overflowPunct/>
        <w:topLinePunct w:val="0"/>
        <w:autoSpaceDE/>
        <w:autoSpaceDN w:val="0"/>
        <w:bidi w:val="0"/>
        <w:spacing w:line="640" w:lineRule="exact"/>
        <w:ind w:left="0" w:leftChars="0" w:right="0" w:rightChars="0" w:firstLine="555"/>
        <w:jc w:val="both"/>
        <w:textAlignment w:val="auto"/>
        <w:outlineLvl w:val="9"/>
        <w:rPr>
          <w:rFonts w:hint="eastAsia" w:ascii="楷体" w:hAnsi="楷体" w:eastAsia="楷体" w:cs="楷体"/>
          <w:b/>
          <w:color w:val="000000"/>
          <w:sz w:val="32"/>
          <w:szCs w:val="32"/>
          <w:lang w:val="en-US" w:eastAsia="zh-CN"/>
        </w:rPr>
      </w:pPr>
      <w:r>
        <w:rPr>
          <w:rFonts w:hint="eastAsia" w:ascii="楷体" w:hAnsi="楷体" w:eastAsia="楷体" w:cs="楷体"/>
          <w:b/>
          <w:color w:val="000000"/>
          <w:sz w:val="32"/>
          <w:szCs w:val="32"/>
          <w:lang w:val="en-US" w:eastAsia="zh-CN"/>
        </w:rPr>
        <w:t>以综合治税为抓手，不断提高财政收入质量</w:t>
      </w:r>
    </w:p>
    <w:p>
      <w:pPr>
        <w:keepNext w:val="0"/>
        <w:keepLines w:val="0"/>
        <w:pageBreakBefore w:val="0"/>
        <w:numPr>
          <w:ilvl w:val="0"/>
          <w:numId w:val="0"/>
        </w:numPr>
        <w:kinsoku/>
        <w:wordWrap/>
        <w:overflowPunct/>
        <w:topLinePunct w:val="0"/>
        <w:autoSpaceDE/>
        <w:autoSpaceDN w:val="0"/>
        <w:bidi w:val="0"/>
        <w:adjustRightInd/>
        <w:snapToGrid/>
        <w:spacing w:line="640" w:lineRule="exact"/>
        <w:ind w:leftChars="0" w:right="0" w:rightChars="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kern w:val="0"/>
          <w:sz w:val="32"/>
          <w:szCs w:val="32"/>
          <w:lang w:val="en-US" w:eastAsia="zh-CN"/>
        </w:rPr>
        <w:t>继续充实综合治税工作力量，搭建综合治税管理平台，建立长效管理机制。一是着力抓好</w:t>
      </w:r>
      <w:r>
        <w:rPr>
          <w:rFonts w:hint="eastAsia" w:ascii="仿宋" w:hAnsi="仿宋" w:eastAsia="仿宋" w:cs="仿宋"/>
          <w:b w:val="0"/>
          <w:bCs w:val="0"/>
          <w:color w:val="auto"/>
          <w:sz w:val="32"/>
          <w:szCs w:val="32"/>
          <w:lang w:val="en-US" w:eastAsia="zh-CN"/>
        </w:rPr>
        <w:t>重点税源、重点税种和重点领域的征管管控，提升征管实效；</w:t>
      </w:r>
      <w:r>
        <w:rPr>
          <w:rFonts w:hint="eastAsia" w:ascii="仿宋" w:hAnsi="仿宋" w:eastAsia="仿宋" w:cs="仿宋"/>
          <w:b w:val="0"/>
          <w:bCs w:val="0"/>
          <w:color w:val="auto"/>
          <w:sz w:val="32"/>
          <w:szCs w:val="32"/>
        </w:rPr>
        <w:t>二是</w:t>
      </w:r>
      <w:r>
        <w:rPr>
          <w:rFonts w:hint="eastAsia" w:ascii="仿宋" w:hAnsi="仿宋" w:eastAsia="仿宋" w:cs="仿宋"/>
          <w:b w:val="0"/>
          <w:bCs w:val="0"/>
          <w:color w:val="auto"/>
          <w:sz w:val="32"/>
          <w:szCs w:val="32"/>
          <w:lang w:val="en-US" w:eastAsia="zh-CN"/>
        </w:rPr>
        <w:t>开展城镇土地使用税专项治理，</w:t>
      </w:r>
      <w:r>
        <w:rPr>
          <w:rFonts w:hint="eastAsia" w:ascii="仿宋" w:hAnsi="仿宋" w:eastAsia="仿宋" w:cs="仿宋"/>
          <w:b w:val="0"/>
          <w:bCs w:val="0"/>
          <w:color w:val="auto"/>
          <w:sz w:val="32"/>
          <w:szCs w:val="32"/>
        </w:rPr>
        <w:t>对符合</w:t>
      </w:r>
      <w:r>
        <w:rPr>
          <w:rFonts w:hint="eastAsia" w:ascii="仿宋" w:hAnsi="仿宋" w:eastAsia="仿宋" w:cs="仿宋"/>
          <w:b w:val="0"/>
          <w:bCs w:val="0"/>
          <w:color w:val="auto"/>
          <w:sz w:val="32"/>
          <w:szCs w:val="32"/>
          <w:lang w:val="en-US" w:eastAsia="zh-CN"/>
        </w:rPr>
        <w:t>城镇土地使用</w:t>
      </w:r>
      <w:r>
        <w:rPr>
          <w:rFonts w:hint="eastAsia" w:ascii="仿宋" w:hAnsi="仿宋" w:eastAsia="仿宋" w:cs="仿宋"/>
          <w:b w:val="0"/>
          <w:bCs w:val="0"/>
          <w:color w:val="auto"/>
          <w:sz w:val="32"/>
          <w:szCs w:val="32"/>
        </w:rPr>
        <w:t>税的企业</w:t>
      </w:r>
      <w:r>
        <w:rPr>
          <w:rFonts w:hint="eastAsia" w:ascii="仿宋" w:hAnsi="仿宋" w:eastAsia="仿宋" w:cs="仿宋"/>
          <w:b w:val="0"/>
          <w:bCs w:val="0"/>
          <w:color w:val="auto"/>
          <w:sz w:val="32"/>
          <w:szCs w:val="32"/>
          <w:lang w:val="en-US" w:eastAsia="zh-CN"/>
        </w:rPr>
        <w:t>和在建项目，严格按照规定征收城镇土地使用税；三是对我区水资源税、环保税以及个税征收情况进行重点稽查，提高征管效能；四是加强对在我区范围内实施的政府性投资项目的税收管理，防止税收外流。</w:t>
      </w:r>
    </w:p>
    <w:p>
      <w:pPr>
        <w:keepNext w:val="0"/>
        <w:keepLines w:val="0"/>
        <w:pageBreakBefore w:val="0"/>
        <w:numPr>
          <w:ilvl w:val="0"/>
          <w:numId w:val="4"/>
        </w:numPr>
        <w:kinsoku/>
        <w:wordWrap/>
        <w:overflowPunct/>
        <w:topLinePunct w:val="0"/>
        <w:autoSpaceDE/>
        <w:autoSpaceDN w:val="0"/>
        <w:bidi w:val="0"/>
        <w:spacing w:line="640" w:lineRule="exact"/>
        <w:ind w:left="0" w:leftChars="0" w:right="0" w:rightChars="0" w:firstLine="555" w:firstLineChars="0"/>
        <w:jc w:val="both"/>
        <w:textAlignment w:val="auto"/>
        <w:outlineLvl w:val="9"/>
        <w:rPr>
          <w:rFonts w:hint="eastAsia" w:ascii="楷体" w:hAnsi="楷体" w:eastAsia="楷体" w:cs="楷体"/>
          <w:b/>
          <w:color w:val="000000"/>
          <w:sz w:val="32"/>
          <w:szCs w:val="32"/>
          <w:lang w:val="en-US" w:eastAsia="zh-CN"/>
        </w:rPr>
      </w:pPr>
      <w:r>
        <w:rPr>
          <w:rFonts w:hint="eastAsia" w:ascii="楷体" w:hAnsi="楷体" w:eastAsia="楷体" w:cs="楷体"/>
          <w:b/>
          <w:color w:val="000000"/>
          <w:sz w:val="32"/>
          <w:szCs w:val="32"/>
          <w:lang w:val="en-US" w:eastAsia="zh-CN"/>
        </w:rPr>
        <w:t>以专项整治为抓手，不断提高财政绩效水平</w:t>
      </w:r>
    </w:p>
    <w:p>
      <w:pPr>
        <w:keepNext w:val="0"/>
        <w:keepLines w:val="0"/>
        <w:pageBreakBefore w:val="0"/>
        <w:widowControl/>
        <w:numPr>
          <w:ilvl w:val="0"/>
          <w:numId w:val="0"/>
        </w:numPr>
        <w:tabs>
          <w:tab w:val="left" w:pos="5040"/>
        </w:tabs>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color w:val="auto"/>
          <w:sz w:val="32"/>
          <w:szCs w:val="32"/>
        </w:rPr>
      </w:pPr>
      <w:r>
        <w:rPr>
          <w:rFonts w:hint="eastAsia" w:ascii="仿宋" w:hAnsi="仿宋" w:eastAsia="仿宋" w:cs="仿宋"/>
          <w:sz w:val="32"/>
          <w:szCs w:val="32"/>
          <w:lang w:val="en-US" w:eastAsia="zh-CN"/>
        </w:rPr>
        <w:t>全面清理各类存量资金，整治账外管理资金，做到应收尽收、应交尽交，集中财力保障“六稳”“六保”需要。坚持出实招、见实效，确保各类存量资金应收尽收，各种违规行为应纠全纠，</w:t>
      </w:r>
      <w:r>
        <w:rPr>
          <w:rFonts w:hint="eastAsia" w:ascii="仿宋" w:hAnsi="仿宋" w:eastAsia="仿宋" w:cs="仿宋"/>
          <w:color w:val="000000"/>
          <w:sz w:val="32"/>
          <w:szCs w:val="32"/>
        </w:rPr>
        <w:t>确保财政财务管理规范化和</w:t>
      </w:r>
      <w:r>
        <w:rPr>
          <w:rFonts w:hint="eastAsia" w:ascii="仿宋" w:hAnsi="仿宋" w:eastAsia="仿宋" w:cs="仿宋"/>
          <w:color w:val="000000"/>
          <w:sz w:val="32"/>
          <w:szCs w:val="32"/>
          <w:lang w:val="en-US" w:eastAsia="zh-CN"/>
        </w:rPr>
        <w:t>财政</w:t>
      </w:r>
      <w:r>
        <w:rPr>
          <w:rFonts w:hint="eastAsia" w:ascii="仿宋" w:hAnsi="仿宋" w:eastAsia="仿宋" w:cs="仿宋"/>
          <w:color w:val="000000"/>
          <w:sz w:val="32"/>
          <w:szCs w:val="32"/>
        </w:rPr>
        <w:t>资金的安全、合理、有效，</w:t>
      </w:r>
      <w:r>
        <w:rPr>
          <w:rFonts w:hint="eastAsia" w:ascii="仿宋" w:hAnsi="仿宋" w:eastAsia="仿宋" w:cs="仿宋"/>
          <w:color w:val="000000"/>
          <w:sz w:val="32"/>
          <w:szCs w:val="32"/>
          <w:lang w:val="en-US" w:eastAsia="zh-CN"/>
        </w:rPr>
        <w:t>提高财政资金绩效管理水平</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重点开展各类财政专项资金</w:t>
      </w:r>
      <w:r>
        <w:rPr>
          <w:rFonts w:hint="eastAsia" w:ascii="仿宋" w:hAnsi="仿宋" w:eastAsia="仿宋" w:cs="仿宋"/>
          <w:color w:val="000000"/>
          <w:sz w:val="32"/>
          <w:szCs w:val="32"/>
        </w:rPr>
        <w:t>检查，</w:t>
      </w:r>
      <w:r>
        <w:rPr>
          <w:rFonts w:hint="eastAsia" w:ascii="仿宋" w:hAnsi="仿宋" w:eastAsia="仿宋" w:cs="仿宋"/>
          <w:color w:val="auto"/>
          <w:sz w:val="32"/>
          <w:szCs w:val="32"/>
        </w:rPr>
        <w:t>提高</w:t>
      </w:r>
      <w:r>
        <w:rPr>
          <w:rFonts w:hint="eastAsia" w:ascii="仿宋" w:hAnsi="仿宋" w:eastAsia="仿宋" w:cs="仿宋"/>
          <w:color w:val="auto"/>
          <w:sz w:val="32"/>
          <w:szCs w:val="32"/>
          <w:lang w:val="en-US" w:eastAsia="zh-CN"/>
        </w:rPr>
        <w:t>各类财政</w:t>
      </w:r>
      <w:r>
        <w:rPr>
          <w:rFonts w:hint="eastAsia" w:ascii="仿宋" w:hAnsi="仿宋" w:eastAsia="仿宋" w:cs="仿宋"/>
          <w:color w:val="auto"/>
          <w:sz w:val="32"/>
          <w:szCs w:val="32"/>
        </w:rPr>
        <w:t>资金拨付的及时性、使用的合规性和有效性，严厉查处截留挪用、骗取套取、贪污侵占专项资金等违法行为。</w:t>
      </w:r>
    </w:p>
    <w:p>
      <w:pPr>
        <w:keepNext w:val="0"/>
        <w:keepLines w:val="0"/>
        <w:pageBreakBefore w:val="0"/>
        <w:numPr>
          <w:ilvl w:val="0"/>
          <w:numId w:val="4"/>
        </w:numPr>
        <w:kinsoku/>
        <w:wordWrap/>
        <w:overflowPunct/>
        <w:topLinePunct w:val="0"/>
        <w:autoSpaceDE/>
        <w:autoSpaceDN w:val="0"/>
        <w:bidi w:val="0"/>
        <w:spacing w:line="640" w:lineRule="exact"/>
        <w:ind w:left="0" w:leftChars="0" w:right="0" w:rightChars="0" w:firstLine="555" w:firstLineChars="0"/>
        <w:jc w:val="both"/>
        <w:textAlignment w:val="auto"/>
        <w:outlineLvl w:val="9"/>
        <w:rPr>
          <w:rFonts w:hint="eastAsia" w:ascii="楷体" w:hAnsi="楷体" w:eastAsia="楷体" w:cs="楷体"/>
          <w:b/>
          <w:color w:val="000000"/>
          <w:sz w:val="32"/>
          <w:szCs w:val="32"/>
          <w:lang w:val="en-US" w:eastAsia="zh-CN"/>
        </w:rPr>
      </w:pPr>
      <w:r>
        <w:rPr>
          <w:rFonts w:hint="eastAsia" w:ascii="楷体" w:hAnsi="楷体" w:eastAsia="楷体" w:cs="楷体"/>
          <w:b/>
          <w:color w:val="000000"/>
          <w:sz w:val="32"/>
          <w:szCs w:val="32"/>
          <w:lang w:val="en-US" w:eastAsia="zh-CN"/>
        </w:rPr>
        <w:t>以深化改革为抓手，不断强化财政支出管理</w:t>
      </w:r>
    </w:p>
    <w:p>
      <w:pPr>
        <w:keepNext w:val="0"/>
        <w:keepLines w:val="0"/>
        <w:pageBreakBefore w:val="0"/>
        <w:widowControl/>
        <w:numPr>
          <w:ilvl w:val="0"/>
          <w:numId w:val="0"/>
        </w:numPr>
        <w:tabs>
          <w:tab w:val="left" w:pos="5040"/>
        </w:tabs>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继续深化部门预算、国库集中支付、政府采购、公务卡消费等财政管理改革，提高预算编制和预算执行的规范化水平。健全财政监管机制，强化财政监督、政府采购、投资评审，提高财政资金使用效益</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完善预算绩效管理，做好绩效评估工作，提高资金使用效率。</w:t>
      </w:r>
      <w:r>
        <w:rPr>
          <w:rFonts w:hint="eastAsia" w:ascii="仿宋" w:hAnsi="仿宋" w:eastAsia="仿宋" w:cs="仿宋"/>
          <w:color w:val="auto"/>
          <w:sz w:val="32"/>
          <w:szCs w:val="32"/>
        </w:rPr>
        <w:t>严格执行中央《八项规定》，严格“三公经费”管理。扎实做好减税降费政策落实，加强政策宣传解读，强化政策落实情况跟踪和分析，在分析中找出问题、找到对策，认真主动、坚持原则，不折不扣贯彻落实好更大规模减税</w:t>
      </w:r>
      <w:r>
        <w:rPr>
          <w:rFonts w:hint="eastAsia" w:ascii="仿宋" w:hAnsi="仿宋" w:eastAsia="仿宋" w:cs="仿宋"/>
          <w:color w:val="auto"/>
          <w:sz w:val="32"/>
          <w:szCs w:val="32"/>
          <w:lang w:val="en-US" w:eastAsia="zh-CN"/>
        </w:rPr>
        <w:t>降费</w:t>
      </w:r>
      <w:r>
        <w:rPr>
          <w:rFonts w:hint="eastAsia" w:ascii="仿宋" w:hAnsi="仿宋" w:eastAsia="仿宋" w:cs="仿宋"/>
          <w:color w:val="auto"/>
          <w:sz w:val="32"/>
          <w:szCs w:val="32"/>
        </w:rPr>
        <w:t>政策。</w:t>
      </w:r>
    </w:p>
    <w:p>
      <w:pPr>
        <w:keepNext w:val="0"/>
        <w:keepLines w:val="0"/>
        <w:pageBreakBefore w:val="0"/>
        <w:numPr>
          <w:ilvl w:val="0"/>
          <w:numId w:val="0"/>
        </w:numPr>
        <w:kinsoku/>
        <w:wordWrap/>
        <w:overflowPunct/>
        <w:topLinePunct w:val="0"/>
        <w:autoSpaceDE/>
        <w:autoSpaceDN w:val="0"/>
        <w:bidi w:val="0"/>
        <w:spacing w:line="640" w:lineRule="exact"/>
        <w:ind w:left="555" w:leftChars="0" w:right="0" w:rightChars="0"/>
        <w:jc w:val="both"/>
        <w:textAlignment w:val="auto"/>
        <w:outlineLvl w:val="9"/>
        <w:rPr>
          <w:rFonts w:hint="default" w:ascii="楷体" w:hAnsi="楷体" w:eastAsia="楷体" w:cs="楷体"/>
          <w:b/>
          <w:color w:val="000000"/>
          <w:sz w:val="32"/>
          <w:szCs w:val="32"/>
          <w:lang w:val="en-US" w:eastAsia="zh-CN"/>
        </w:rPr>
      </w:pPr>
      <w:r>
        <w:rPr>
          <w:rFonts w:hint="eastAsia" w:ascii="楷体" w:hAnsi="楷体" w:eastAsia="楷体" w:cs="楷体"/>
          <w:b/>
          <w:color w:val="000000"/>
          <w:sz w:val="32"/>
          <w:szCs w:val="32"/>
          <w:lang w:val="en-US" w:eastAsia="zh-CN"/>
        </w:rPr>
        <w:t>（四）以优化结构为抓手，不断优化支出结构</w:t>
      </w:r>
    </w:p>
    <w:p>
      <w:pPr>
        <w:keepNext w:val="0"/>
        <w:keepLines w:val="0"/>
        <w:pageBreakBefore w:val="0"/>
        <w:widowControl/>
        <w:numPr>
          <w:ilvl w:val="0"/>
          <w:numId w:val="0"/>
        </w:numPr>
        <w:tabs>
          <w:tab w:val="left" w:pos="5040"/>
        </w:tabs>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积极应对减税降费政策、新冠疫情的影响，带头树牢过“紧日子、苦日子”思想，不断优化财政支出结构，进一步压减非急需、非刚性支出，集中财力落实“六稳、六保”各项工作目标，全面优化支出结构、加强预算管理，提升财政资金配置效率和使用效益。</w:t>
      </w:r>
    </w:p>
    <w:p>
      <w:pPr>
        <w:keepNext w:val="0"/>
        <w:keepLines w:val="0"/>
        <w:pageBreakBefore w:val="0"/>
        <w:numPr>
          <w:ilvl w:val="0"/>
          <w:numId w:val="0"/>
        </w:numPr>
        <w:kinsoku/>
        <w:wordWrap/>
        <w:overflowPunct/>
        <w:topLinePunct w:val="0"/>
        <w:autoSpaceDE/>
        <w:autoSpaceDN w:val="0"/>
        <w:bidi w:val="0"/>
        <w:spacing w:line="640" w:lineRule="exact"/>
        <w:ind w:left="555" w:leftChars="0" w:right="0" w:rightChars="0"/>
        <w:jc w:val="both"/>
        <w:textAlignment w:val="auto"/>
        <w:outlineLvl w:val="9"/>
        <w:rPr>
          <w:rFonts w:hint="default" w:ascii="楷体" w:hAnsi="楷体" w:eastAsia="楷体" w:cs="楷体"/>
          <w:b/>
          <w:color w:val="000000"/>
          <w:sz w:val="32"/>
          <w:szCs w:val="32"/>
          <w:lang w:val="en-US" w:eastAsia="zh-CN"/>
        </w:rPr>
      </w:pPr>
      <w:r>
        <w:rPr>
          <w:rFonts w:hint="eastAsia" w:ascii="楷体" w:hAnsi="楷体" w:eastAsia="楷体" w:cs="楷体"/>
          <w:b/>
          <w:color w:val="000000"/>
          <w:sz w:val="32"/>
          <w:szCs w:val="32"/>
          <w:lang w:val="en-US" w:eastAsia="zh-CN"/>
        </w:rPr>
        <w:t>（五）以队伍建设为抓手，不断提高依法理财能力</w:t>
      </w:r>
    </w:p>
    <w:p>
      <w:pPr>
        <w:keepNext w:val="0"/>
        <w:keepLines w:val="0"/>
        <w:pageBreakBefore w:val="0"/>
        <w:widowControl/>
        <w:numPr>
          <w:ilvl w:val="0"/>
          <w:numId w:val="0"/>
        </w:numPr>
        <w:tabs>
          <w:tab w:val="left" w:pos="5040"/>
        </w:tabs>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坚持把党风廉政建设和财政业务工作同部署、同推进、同检查、同考核，注重加强党组自身建设和党支部建设，提高党组履职尽责政治性和有效性，增强党支部政治功能，推动财政干部树牢“四个意识”、增强“四个自信”、增强法制观念，坚决做到“两个维护”，力戒形式主义、官僚主义，不断提高依法理财能力。</w:t>
      </w:r>
    </w:p>
    <w:p>
      <w:pPr>
        <w:keepNext w:val="0"/>
        <w:keepLines w:val="0"/>
        <w:pageBreakBefore w:val="0"/>
        <w:widowControl/>
        <w:numPr>
          <w:ilvl w:val="0"/>
          <w:numId w:val="0"/>
        </w:numPr>
        <w:tabs>
          <w:tab w:val="left" w:pos="5040"/>
        </w:tabs>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sz w:val="32"/>
          <w:szCs w:val="32"/>
          <w:lang w:val="en-US" w:eastAsia="zh-CN"/>
        </w:rPr>
        <w:t>尊敬的苏主任，各位副主任，各位委员，2021年是淮阳区经济社会高质量发展</w:t>
      </w:r>
      <w:r>
        <w:rPr>
          <w:rFonts w:hint="eastAsia" w:ascii="仿宋" w:hAnsi="仿宋" w:eastAsia="仿宋" w:cs="仿宋"/>
          <w:color w:val="auto"/>
          <w:kern w:val="2"/>
          <w:sz w:val="32"/>
          <w:szCs w:val="32"/>
          <w:lang w:val="en-US" w:eastAsia="zh-CN" w:bidi="ar-SA"/>
        </w:rPr>
        <w:t>的重要一年，按照市委提出的“三季度拉平、四季度拉升”的总体要求，做好今年的财政预算管理工作意义重大。在区委的坚强领导和区人大、区政协的监督支持下，我们一定牢记宗旨、忠诚履职，真抓实干、务求实效，确保2021年财政预算目标任务的实现，为我区各项事业的健康发展做出更大贡献。</w:t>
      </w:r>
    </w:p>
    <w:p>
      <w:pPr>
        <w:pStyle w:val="2"/>
        <w:ind w:left="0" w:leftChars="0" w:firstLine="0" w:firstLineChars="0"/>
        <w:rPr>
          <w:rFonts w:hint="default"/>
          <w:color w:val="000000"/>
          <w:lang w:val="en-US" w:eastAsia="zh-CN"/>
        </w:rPr>
      </w:pPr>
    </w:p>
    <w:p>
      <w:pPr>
        <w:keepNext w:val="0"/>
        <w:keepLines w:val="0"/>
        <w:pageBreakBefore w:val="0"/>
        <w:widowControl/>
        <w:numPr>
          <w:ilvl w:val="0"/>
          <w:numId w:val="0"/>
        </w:numPr>
        <w:tabs>
          <w:tab w:val="left" w:pos="5040"/>
        </w:tabs>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sz w:val="32"/>
          <w:szCs w:val="32"/>
          <w:lang w:val="en-US" w:eastAsia="zh-CN"/>
        </w:rPr>
        <w:t xml:space="preserve"> </w:t>
      </w:r>
    </w:p>
    <w:p>
      <w:pPr>
        <w:pStyle w:val="2"/>
        <w:ind w:left="0" w:leftChars="0" w:firstLine="0" w:firstLineChars="0"/>
        <w:rPr>
          <w:rFonts w:hint="default"/>
          <w:color w:val="000000"/>
          <w:lang w:val="en-US" w:eastAsia="zh-CN"/>
        </w:rPr>
      </w:pPr>
    </w:p>
    <w:sectPr>
      <w:headerReference r:id="rId3" w:type="default"/>
      <w:footerReference r:id="rId4" w:type="default"/>
      <w:footerReference r:id="rId5"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方正楷体简体">
    <w:panose1 w:val="02010601030101010101"/>
    <w:charset w:val="86"/>
    <w:family w:val="auto"/>
    <w:pitch w:val="default"/>
    <w:sig w:usb0="00000001" w:usb1="080E0000" w:usb2="00000000" w:usb3="00000000" w:csb0="00040000" w:csb1="00000000"/>
  </w:font>
  <w:font w:name="宋体-18030">
    <w:altName w:val="宋体"/>
    <w:panose1 w:val="0201060906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4</w:t>
    </w:r>
    <w:r>
      <w:fldChar w:fldCharType="end"/>
    </w:r>
  </w:p>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1</w:t>
    </w:r>
    <w:r>
      <w:fldChar w:fldCharType="end"/>
    </w:r>
  </w:p>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BBF7067"/>
    <w:multiLevelType w:val="singleLevel"/>
    <w:tmpl w:val="ABBF7067"/>
    <w:lvl w:ilvl="0" w:tentative="0">
      <w:start w:val="1"/>
      <w:numFmt w:val="chineseCounting"/>
      <w:suff w:val="nothing"/>
      <w:lvlText w:val="（%1）"/>
      <w:lvlJc w:val="left"/>
      <w:rPr>
        <w:rFonts w:hint="eastAsia"/>
      </w:rPr>
    </w:lvl>
  </w:abstractNum>
  <w:abstractNum w:abstractNumId="1">
    <w:nsid w:val="EAE0E756"/>
    <w:multiLevelType w:val="singleLevel"/>
    <w:tmpl w:val="EAE0E756"/>
    <w:lvl w:ilvl="0" w:tentative="0">
      <w:start w:val="4"/>
      <w:numFmt w:val="chineseCounting"/>
      <w:suff w:val="nothing"/>
      <w:lvlText w:val="%1、"/>
      <w:lvlJc w:val="left"/>
      <w:rPr>
        <w:rFonts w:hint="eastAsia"/>
      </w:rPr>
    </w:lvl>
  </w:abstractNum>
  <w:abstractNum w:abstractNumId="2">
    <w:nsid w:val="59648D3E"/>
    <w:multiLevelType w:val="singleLevel"/>
    <w:tmpl w:val="59648D3E"/>
    <w:lvl w:ilvl="0" w:tentative="0">
      <w:start w:val="1"/>
      <w:numFmt w:val="chineseCounting"/>
      <w:suff w:val="nothing"/>
      <w:lvlText w:val="（%1）"/>
      <w:lvlJc w:val="left"/>
    </w:lvl>
  </w:abstractNum>
  <w:abstractNum w:abstractNumId="3">
    <w:nsid w:val="59990251"/>
    <w:multiLevelType w:val="singleLevel"/>
    <w:tmpl w:val="59990251"/>
    <w:lvl w:ilvl="0" w:tentative="0">
      <w:start w:val="2"/>
      <w:numFmt w:val="chineseCounting"/>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25D4E"/>
    <w:rsid w:val="000504B4"/>
    <w:rsid w:val="00055301"/>
    <w:rsid w:val="000624B9"/>
    <w:rsid w:val="0006506D"/>
    <w:rsid w:val="000673F0"/>
    <w:rsid w:val="000C4789"/>
    <w:rsid w:val="00107759"/>
    <w:rsid w:val="00124D91"/>
    <w:rsid w:val="001801DC"/>
    <w:rsid w:val="001A1CB7"/>
    <w:rsid w:val="001C439D"/>
    <w:rsid w:val="001D5B04"/>
    <w:rsid w:val="001E482D"/>
    <w:rsid w:val="00207769"/>
    <w:rsid w:val="00241EAC"/>
    <w:rsid w:val="00251101"/>
    <w:rsid w:val="00254F4E"/>
    <w:rsid w:val="00256969"/>
    <w:rsid w:val="00260077"/>
    <w:rsid w:val="002A68A0"/>
    <w:rsid w:val="002B2157"/>
    <w:rsid w:val="002C45BD"/>
    <w:rsid w:val="00323BBF"/>
    <w:rsid w:val="003319C1"/>
    <w:rsid w:val="00352852"/>
    <w:rsid w:val="0035291F"/>
    <w:rsid w:val="003529BC"/>
    <w:rsid w:val="00360F67"/>
    <w:rsid w:val="00362243"/>
    <w:rsid w:val="00380901"/>
    <w:rsid w:val="00392909"/>
    <w:rsid w:val="003B1826"/>
    <w:rsid w:val="003B1957"/>
    <w:rsid w:val="003C5F9F"/>
    <w:rsid w:val="003E36C6"/>
    <w:rsid w:val="003E5047"/>
    <w:rsid w:val="003E5E64"/>
    <w:rsid w:val="003E67E8"/>
    <w:rsid w:val="003F7422"/>
    <w:rsid w:val="00413DC3"/>
    <w:rsid w:val="00420661"/>
    <w:rsid w:val="00432B6F"/>
    <w:rsid w:val="0045098C"/>
    <w:rsid w:val="00471CF9"/>
    <w:rsid w:val="00480456"/>
    <w:rsid w:val="00492D7A"/>
    <w:rsid w:val="004A5804"/>
    <w:rsid w:val="004B19C4"/>
    <w:rsid w:val="004B3269"/>
    <w:rsid w:val="004F11CB"/>
    <w:rsid w:val="004F378A"/>
    <w:rsid w:val="0051005C"/>
    <w:rsid w:val="005123C6"/>
    <w:rsid w:val="0051795C"/>
    <w:rsid w:val="005242F9"/>
    <w:rsid w:val="00530863"/>
    <w:rsid w:val="00557EF7"/>
    <w:rsid w:val="00582645"/>
    <w:rsid w:val="005B2F6E"/>
    <w:rsid w:val="005B4542"/>
    <w:rsid w:val="005C0149"/>
    <w:rsid w:val="005D34E1"/>
    <w:rsid w:val="00601523"/>
    <w:rsid w:val="00616696"/>
    <w:rsid w:val="006219E6"/>
    <w:rsid w:val="00622D99"/>
    <w:rsid w:val="00654389"/>
    <w:rsid w:val="00681FF0"/>
    <w:rsid w:val="006871FB"/>
    <w:rsid w:val="006B759A"/>
    <w:rsid w:val="006F457D"/>
    <w:rsid w:val="007018F4"/>
    <w:rsid w:val="00702B31"/>
    <w:rsid w:val="007104DC"/>
    <w:rsid w:val="00747359"/>
    <w:rsid w:val="007617AB"/>
    <w:rsid w:val="007727CA"/>
    <w:rsid w:val="007A4D24"/>
    <w:rsid w:val="007A7B75"/>
    <w:rsid w:val="007B797D"/>
    <w:rsid w:val="007F0FAD"/>
    <w:rsid w:val="007F2A39"/>
    <w:rsid w:val="00802B9D"/>
    <w:rsid w:val="0080735A"/>
    <w:rsid w:val="00823C78"/>
    <w:rsid w:val="008269F7"/>
    <w:rsid w:val="00846565"/>
    <w:rsid w:val="00846A22"/>
    <w:rsid w:val="00862EED"/>
    <w:rsid w:val="00867C7E"/>
    <w:rsid w:val="008A6C1D"/>
    <w:rsid w:val="008C786C"/>
    <w:rsid w:val="008E7228"/>
    <w:rsid w:val="008F4B9C"/>
    <w:rsid w:val="00924C7E"/>
    <w:rsid w:val="009428D3"/>
    <w:rsid w:val="00953640"/>
    <w:rsid w:val="009540E3"/>
    <w:rsid w:val="0096247E"/>
    <w:rsid w:val="009B2952"/>
    <w:rsid w:val="009B61E0"/>
    <w:rsid w:val="009E6250"/>
    <w:rsid w:val="00A24D36"/>
    <w:rsid w:val="00A25E6C"/>
    <w:rsid w:val="00A26D55"/>
    <w:rsid w:val="00A3643A"/>
    <w:rsid w:val="00A54940"/>
    <w:rsid w:val="00A63F82"/>
    <w:rsid w:val="00A653E4"/>
    <w:rsid w:val="00AA38F4"/>
    <w:rsid w:val="00AB0DA8"/>
    <w:rsid w:val="00AB5C10"/>
    <w:rsid w:val="00AD3412"/>
    <w:rsid w:val="00AF7E0B"/>
    <w:rsid w:val="00B12DB9"/>
    <w:rsid w:val="00B26986"/>
    <w:rsid w:val="00B44D84"/>
    <w:rsid w:val="00B4772E"/>
    <w:rsid w:val="00B67EA8"/>
    <w:rsid w:val="00B71DFB"/>
    <w:rsid w:val="00B90BCB"/>
    <w:rsid w:val="00B942A5"/>
    <w:rsid w:val="00BA75FF"/>
    <w:rsid w:val="00BC7254"/>
    <w:rsid w:val="00BE54C8"/>
    <w:rsid w:val="00C0478C"/>
    <w:rsid w:val="00C3646F"/>
    <w:rsid w:val="00C411CA"/>
    <w:rsid w:val="00C67920"/>
    <w:rsid w:val="00D06934"/>
    <w:rsid w:val="00D15875"/>
    <w:rsid w:val="00D400A7"/>
    <w:rsid w:val="00D64A71"/>
    <w:rsid w:val="00D71684"/>
    <w:rsid w:val="00D757C8"/>
    <w:rsid w:val="00D770C2"/>
    <w:rsid w:val="00D85B58"/>
    <w:rsid w:val="00DC061B"/>
    <w:rsid w:val="00DC141C"/>
    <w:rsid w:val="00DD3187"/>
    <w:rsid w:val="00DD70B9"/>
    <w:rsid w:val="00DE1EC0"/>
    <w:rsid w:val="00DE40FC"/>
    <w:rsid w:val="00DF03CD"/>
    <w:rsid w:val="00E11237"/>
    <w:rsid w:val="00E20551"/>
    <w:rsid w:val="00E621CE"/>
    <w:rsid w:val="00E76764"/>
    <w:rsid w:val="00E90964"/>
    <w:rsid w:val="00EA520A"/>
    <w:rsid w:val="00EC046C"/>
    <w:rsid w:val="00ED5E2B"/>
    <w:rsid w:val="00EF11B5"/>
    <w:rsid w:val="00F05DA5"/>
    <w:rsid w:val="00F06E67"/>
    <w:rsid w:val="00F3729E"/>
    <w:rsid w:val="00F3757B"/>
    <w:rsid w:val="00F47983"/>
    <w:rsid w:val="00F56A08"/>
    <w:rsid w:val="00F940F1"/>
    <w:rsid w:val="00F96DC5"/>
    <w:rsid w:val="00FC3F26"/>
    <w:rsid w:val="00FE7137"/>
    <w:rsid w:val="01035F94"/>
    <w:rsid w:val="01036CE0"/>
    <w:rsid w:val="013A11CC"/>
    <w:rsid w:val="018B57C6"/>
    <w:rsid w:val="023E726E"/>
    <w:rsid w:val="02824E1D"/>
    <w:rsid w:val="02C46C1D"/>
    <w:rsid w:val="046B26D4"/>
    <w:rsid w:val="048D4CDD"/>
    <w:rsid w:val="05266606"/>
    <w:rsid w:val="054A6200"/>
    <w:rsid w:val="05F623E9"/>
    <w:rsid w:val="06181CFF"/>
    <w:rsid w:val="07335B6F"/>
    <w:rsid w:val="08A575F6"/>
    <w:rsid w:val="08F73519"/>
    <w:rsid w:val="09045B58"/>
    <w:rsid w:val="0A6804CA"/>
    <w:rsid w:val="0AB40DDE"/>
    <w:rsid w:val="0ACD7FA9"/>
    <w:rsid w:val="0AD316F4"/>
    <w:rsid w:val="0B9C37E5"/>
    <w:rsid w:val="0C0D2987"/>
    <w:rsid w:val="0C843252"/>
    <w:rsid w:val="0C8C76A8"/>
    <w:rsid w:val="0CDF2C7E"/>
    <w:rsid w:val="0D3B56D7"/>
    <w:rsid w:val="0D651862"/>
    <w:rsid w:val="0E5C48A7"/>
    <w:rsid w:val="0F3D4D07"/>
    <w:rsid w:val="0FA91068"/>
    <w:rsid w:val="0FEF09C5"/>
    <w:rsid w:val="10031CF7"/>
    <w:rsid w:val="107B2EED"/>
    <w:rsid w:val="10C66F16"/>
    <w:rsid w:val="1153095E"/>
    <w:rsid w:val="11D65DCB"/>
    <w:rsid w:val="152E4601"/>
    <w:rsid w:val="159B43E3"/>
    <w:rsid w:val="16310589"/>
    <w:rsid w:val="169B3B93"/>
    <w:rsid w:val="17BE769E"/>
    <w:rsid w:val="18E45767"/>
    <w:rsid w:val="18F23474"/>
    <w:rsid w:val="19083F77"/>
    <w:rsid w:val="19AD2D67"/>
    <w:rsid w:val="1A0C0137"/>
    <w:rsid w:val="1A840BBE"/>
    <w:rsid w:val="1BD426E6"/>
    <w:rsid w:val="1BEF7960"/>
    <w:rsid w:val="1C43128C"/>
    <w:rsid w:val="1CFC56F6"/>
    <w:rsid w:val="1D177EA9"/>
    <w:rsid w:val="1D8164A6"/>
    <w:rsid w:val="1D84041B"/>
    <w:rsid w:val="1DEF630D"/>
    <w:rsid w:val="1E1E52FA"/>
    <w:rsid w:val="1E8B1121"/>
    <w:rsid w:val="1EBB2391"/>
    <w:rsid w:val="1EE653D5"/>
    <w:rsid w:val="1F4376DA"/>
    <w:rsid w:val="1F945A8B"/>
    <w:rsid w:val="20C724C1"/>
    <w:rsid w:val="234B11B9"/>
    <w:rsid w:val="235B4FD1"/>
    <w:rsid w:val="23C456FB"/>
    <w:rsid w:val="24AD5F69"/>
    <w:rsid w:val="25EE7650"/>
    <w:rsid w:val="264E4E07"/>
    <w:rsid w:val="26A4448F"/>
    <w:rsid w:val="273E1571"/>
    <w:rsid w:val="29C7542F"/>
    <w:rsid w:val="29EF2A61"/>
    <w:rsid w:val="2A975AF6"/>
    <w:rsid w:val="2BF4063D"/>
    <w:rsid w:val="2C0B09EA"/>
    <w:rsid w:val="2C667999"/>
    <w:rsid w:val="2CF36D85"/>
    <w:rsid w:val="2DFC0FB7"/>
    <w:rsid w:val="2E0E3B7F"/>
    <w:rsid w:val="2E140E03"/>
    <w:rsid w:val="2E6F7DB1"/>
    <w:rsid w:val="2F286FC5"/>
    <w:rsid w:val="2FEF3CE0"/>
    <w:rsid w:val="300F385E"/>
    <w:rsid w:val="30281127"/>
    <w:rsid w:val="318E16FC"/>
    <w:rsid w:val="31B26309"/>
    <w:rsid w:val="32170395"/>
    <w:rsid w:val="324061FF"/>
    <w:rsid w:val="325A0CFA"/>
    <w:rsid w:val="329B6E88"/>
    <w:rsid w:val="335C5454"/>
    <w:rsid w:val="335E7CDC"/>
    <w:rsid w:val="339439C4"/>
    <w:rsid w:val="33C46152"/>
    <w:rsid w:val="33EA1BBF"/>
    <w:rsid w:val="34A22780"/>
    <w:rsid w:val="35555D20"/>
    <w:rsid w:val="366A49F3"/>
    <w:rsid w:val="374F0876"/>
    <w:rsid w:val="38565560"/>
    <w:rsid w:val="38672FD0"/>
    <w:rsid w:val="387B436E"/>
    <w:rsid w:val="3AC644B2"/>
    <w:rsid w:val="3B4215E5"/>
    <w:rsid w:val="3B9C5937"/>
    <w:rsid w:val="3C397DEA"/>
    <w:rsid w:val="3CB30303"/>
    <w:rsid w:val="3D0101F3"/>
    <w:rsid w:val="3D8D7ECC"/>
    <w:rsid w:val="3E31243E"/>
    <w:rsid w:val="3F5332E1"/>
    <w:rsid w:val="3F6538C2"/>
    <w:rsid w:val="40B8119B"/>
    <w:rsid w:val="423034EA"/>
    <w:rsid w:val="42866208"/>
    <w:rsid w:val="42BF0800"/>
    <w:rsid w:val="42EE1724"/>
    <w:rsid w:val="43211BB4"/>
    <w:rsid w:val="43801262"/>
    <w:rsid w:val="4501396D"/>
    <w:rsid w:val="45F23BE0"/>
    <w:rsid w:val="4617691C"/>
    <w:rsid w:val="473F0BDA"/>
    <w:rsid w:val="48880CB5"/>
    <w:rsid w:val="4A41467F"/>
    <w:rsid w:val="4A75691E"/>
    <w:rsid w:val="4B252F6C"/>
    <w:rsid w:val="4CBF7C06"/>
    <w:rsid w:val="4CDE5F1C"/>
    <w:rsid w:val="4D2E52DE"/>
    <w:rsid w:val="4DB14EC3"/>
    <w:rsid w:val="4E630A72"/>
    <w:rsid w:val="4E64796E"/>
    <w:rsid w:val="4E781489"/>
    <w:rsid w:val="4E7E0205"/>
    <w:rsid w:val="4E7E22CC"/>
    <w:rsid w:val="51006665"/>
    <w:rsid w:val="510B07C1"/>
    <w:rsid w:val="513A1898"/>
    <w:rsid w:val="51700C43"/>
    <w:rsid w:val="52750F8B"/>
    <w:rsid w:val="527B79B0"/>
    <w:rsid w:val="52C150B3"/>
    <w:rsid w:val="53B54005"/>
    <w:rsid w:val="53EC6363"/>
    <w:rsid w:val="54D43C94"/>
    <w:rsid w:val="55B613C4"/>
    <w:rsid w:val="55BA2200"/>
    <w:rsid w:val="56E13D9A"/>
    <w:rsid w:val="57CB374B"/>
    <w:rsid w:val="57DD34BB"/>
    <w:rsid w:val="57E5100A"/>
    <w:rsid w:val="58712AD8"/>
    <w:rsid w:val="58884BDC"/>
    <w:rsid w:val="597D3761"/>
    <w:rsid w:val="5B394943"/>
    <w:rsid w:val="5B583081"/>
    <w:rsid w:val="5BFA78F5"/>
    <w:rsid w:val="5C5237DB"/>
    <w:rsid w:val="5D156A29"/>
    <w:rsid w:val="5D1B15A9"/>
    <w:rsid w:val="5D1F52DD"/>
    <w:rsid w:val="5D3420E6"/>
    <w:rsid w:val="5E2815B0"/>
    <w:rsid w:val="5EE263D7"/>
    <w:rsid w:val="5EEB0CD6"/>
    <w:rsid w:val="5F3248B4"/>
    <w:rsid w:val="60805BF9"/>
    <w:rsid w:val="611E4399"/>
    <w:rsid w:val="62934672"/>
    <w:rsid w:val="63072C57"/>
    <w:rsid w:val="630C0FE7"/>
    <w:rsid w:val="631074BD"/>
    <w:rsid w:val="64743218"/>
    <w:rsid w:val="653B0A9A"/>
    <w:rsid w:val="65931DED"/>
    <w:rsid w:val="65C95674"/>
    <w:rsid w:val="677B674B"/>
    <w:rsid w:val="69464B88"/>
    <w:rsid w:val="6A04691B"/>
    <w:rsid w:val="6B0C5AC9"/>
    <w:rsid w:val="6B1E5C6B"/>
    <w:rsid w:val="6C077C89"/>
    <w:rsid w:val="6D3F7437"/>
    <w:rsid w:val="6D434866"/>
    <w:rsid w:val="6E3C5A98"/>
    <w:rsid w:val="6F0B5336"/>
    <w:rsid w:val="70C1775A"/>
    <w:rsid w:val="712528FB"/>
    <w:rsid w:val="71EE76F7"/>
    <w:rsid w:val="72C80C29"/>
    <w:rsid w:val="72DD4187"/>
    <w:rsid w:val="76354089"/>
    <w:rsid w:val="77222C61"/>
    <w:rsid w:val="787670AB"/>
    <w:rsid w:val="78B5070A"/>
    <w:rsid w:val="78C977C9"/>
    <w:rsid w:val="7A4455FB"/>
    <w:rsid w:val="7C62639C"/>
    <w:rsid w:val="7CE77F74"/>
    <w:rsid w:val="7E8C7374"/>
    <w:rsid w:val="7EAD67AF"/>
    <w:rsid w:val="7F8D1DD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nhideWhenUsed="0" w:uiPriority="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unhideWhenUsed/>
    <w:qFormat/>
    <w:uiPriority w:val="99"/>
    <w:pPr>
      <w:spacing w:after="120"/>
    </w:pPr>
  </w:style>
  <w:style w:type="paragraph" w:styleId="4">
    <w:name w:val="Date"/>
    <w:basedOn w:val="1"/>
    <w:next w:val="1"/>
    <w:link w:val="13"/>
    <w:unhideWhenUsed/>
    <w:qFormat/>
    <w:uiPriority w:val="99"/>
    <w:pPr>
      <w:ind w:left="100" w:leftChars="2500"/>
    </w:pPr>
  </w:style>
  <w:style w:type="paragraph" w:styleId="5">
    <w:name w:val="Balloon Text"/>
    <w:basedOn w:val="1"/>
    <w:qFormat/>
    <w:uiPriority w:val="0"/>
    <w:rPr>
      <w:sz w:val="18"/>
      <w:szCs w:val="18"/>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widowControl/>
      <w:spacing w:before="100" w:beforeLines="0" w:beforeAutospacing="1" w:after="100" w:afterLines="0" w:afterAutospacing="1"/>
      <w:jc w:val="left"/>
    </w:pPr>
    <w:rPr>
      <w:rFonts w:ascii="宋体" w:hAnsi="宋体" w:cs="宋体"/>
      <w:kern w:val="0"/>
      <w:sz w:val="24"/>
    </w:rPr>
  </w:style>
  <w:style w:type="character" w:styleId="11">
    <w:name w:val="Strong"/>
    <w:basedOn w:val="10"/>
    <w:qFormat/>
    <w:uiPriority w:val="22"/>
    <w:rPr>
      <w:b/>
      <w:bCs/>
    </w:rPr>
  </w:style>
  <w:style w:type="character" w:styleId="12">
    <w:name w:val="page number"/>
    <w:basedOn w:val="10"/>
    <w:qFormat/>
    <w:uiPriority w:val="0"/>
  </w:style>
  <w:style w:type="character" w:customStyle="1" w:styleId="13">
    <w:name w:val="日期 Char"/>
    <w:basedOn w:val="10"/>
    <w:link w:val="4"/>
    <w:semiHidden/>
    <w:qFormat/>
    <w:uiPriority w:val="99"/>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WWW.YlmF.CoM</Company>
  <Pages>13</Pages>
  <Words>1081</Words>
  <Characters>6168</Characters>
  <Lines>51</Lines>
  <Paragraphs>14</Paragraphs>
  <TotalTime>19</TotalTime>
  <ScaleCrop>false</ScaleCrop>
  <LinksUpToDate>false</LinksUpToDate>
  <CharactersWithSpaces>7235</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2016-07-08T09:04:00Z</dcterms:created>
  <dc:creator>微软用户</dc:creator>
  <cp:lastModifiedBy>Administrator</cp:lastModifiedBy>
  <cp:lastPrinted>2020-09-27T09:12:00Z</cp:lastPrinted>
  <dcterms:modified xsi:type="dcterms:W3CDTF">2021-09-06T00:46:27Z</dcterms:modified>
  <dc:title>武乡县2008年财政决算情况和</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